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4F48F" w14:textId="77777777" w:rsidR="00FE1064" w:rsidRDefault="00FE1064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336C978" w14:textId="77777777" w:rsidR="008F38CC" w:rsidRPr="00FE1064" w:rsidRDefault="008F38CC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7DBF148" w14:textId="77777777" w:rsidR="00FE1064" w:rsidRPr="00FE1064" w:rsidRDefault="00FE1064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26"/>
        <w:gridCol w:w="7681"/>
      </w:tblGrid>
      <w:tr w:rsidR="00FE1064" w:rsidRPr="00DE27E2" w14:paraId="32F654BA" w14:textId="77777777" w:rsidTr="00046A8E">
        <w:trPr>
          <w:cantSplit/>
          <w:trHeight w:val="1925"/>
          <w:jc w:val="center"/>
        </w:trPr>
        <w:tc>
          <w:tcPr>
            <w:tcW w:w="1217" w:type="pct"/>
          </w:tcPr>
          <w:p w14:paraId="4BC45E8D" w14:textId="77777777" w:rsidR="00FE1064" w:rsidRPr="00DE27E2" w:rsidRDefault="00FE1064" w:rsidP="00FE106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27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FD9BD9" wp14:editId="4F50A940">
                  <wp:extent cx="1464049" cy="1114425"/>
                  <wp:effectExtent l="0" t="0" r="3175" b="0"/>
                  <wp:docPr id="2" name="Picture 2" descr="Mon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049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pct"/>
            <w:vAlign w:val="center"/>
          </w:tcPr>
          <w:p w14:paraId="476C29C1" w14:textId="77777777" w:rsidR="00FE1064" w:rsidRPr="00DE27E2" w:rsidRDefault="00FE1064" w:rsidP="00046A8E">
            <w:pPr>
              <w:spacing w:after="0"/>
              <w:ind w:right="2736"/>
              <w:rPr>
                <w:rFonts w:ascii="Times New Roman" w:eastAsia="Calibri" w:hAnsi="Times New Roman" w:cs="Times New Roman"/>
                <w:b/>
                <w:bCs/>
              </w:rPr>
            </w:pPr>
            <w:r w:rsidRPr="00DE27E2">
              <w:rPr>
                <w:rFonts w:ascii="Times New Roman" w:eastAsia="Calibri" w:hAnsi="Times New Roman" w:cs="Times New Roman"/>
                <w:b/>
                <w:bCs/>
              </w:rPr>
              <w:t>CRNA GORA</w:t>
            </w:r>
          </w:p>
          <w:p w14:paraId="1B8AA57C" w14:textId="77777777" w:rsidR="00FE1064" w:rsidRPr="00DE27E2" w:rsidRDefault="00FE1064" w:rsidP="00046A8E">
            <w:pPr>
              <w:spacing w:after="0"/>
              <w:ind w:right="2736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DE27E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ZAVOD ZA STATISTIKU</w:t>
            </w:r>
          </w:p>
          <w:p w14:paraId="30FB4DC1" w14:textId="77777777" w:rsidR="00046A8E" w:rsidRPr="00046A8E" w:rsidRDefault="00046A8E" w:rsidP="00046A8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IV </w:t>
            </w:r>
            <w:proofErr w:type="spellStart"/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>Proleterske</w:t>
            </w:r>
            <w:proofErr w:type="spellEnd"/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 2, 81000 Podgorica</w:t>
            </w:r>
          </w:p>
          <w:p w14:paraId="33E2B86F" w14:textId="77777777" w:rsidR="00046A8E" w:rsidRPr="00046A8E" w:rsidRDefault="00046A8E" w:rsidP="00046A8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>Tel:  +382 (0) 20 230 811</w:t>
            </w:r>
          </w:p>
          <w:p w14:paraId="1BCA5391" w14:textId="77777777" w:rsidR="00046A8E" w:rsidRPr="00046A8E" w:rsidRDefault="00046A8E" w:rsidP="00046A8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>Fax: +382 (0) 20 230 814</w:t>
            </w:r>
          </w:p>
          <w:p w14:paraId="3BF4A1F7" w14:textId="77777777" w:rsidR="00FE1064" w:rsidRPr="00DE27E2" w:rsidRDefault="00046A8E" w:rsidP="00046A8E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E-mail: </w:t>
            </w:r>
            <w:hyperlink r:id="rId9" w:history="1">
              <w:r w:rsidRPr="00046A8E">
                <w:rPr>
                  <w:rStyle w:val="Hyperlink"/>
                  <w:rFonts w:ascii="Times New Roman" w:eastAsia="Calibri" w:hAnsi="Times New Roman" w:cs="Times New Roman"/>
                  <w:bCs/>
                  <w:sz w:val="20"/>
                </w:rPr>
                <w:t>contact@monstat.org</w:t>
              </w:r>
            </w:hyperlink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</w:p>
        </w:tc>
      </w:tr>
    </w:tbl>
    <w:p w14:paraId="2F1D2ECD" w14:textId="77777777" w:rsidR="00FE1064" w:rsidRPr="00DE27E2" w:rsidRDefault="00FE1064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"/>
        <w:gridCol w:w="9967"/>
      </w:tblGrid>
      <w:tr w:rsidR="00FE1064" w:rsidRPr="00DE27E2" w14:paraId="613DDF54" w14:textId="77777777" w:rsidTr="00472B7D">
        <w:trPr>
          <w:gridAfter w:val="1"/>
          <w:wAfter w:w="4887" w:type="pct"/>
          <w:trHeight w:val="2445"/>
        </w:trPr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99300A" w14:textId="77777777" w:rsidR="00FE1064" w:rsidRPr="00DE27E2" w:rsidRDefault="00FE1064" w:rsidP="00FE10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48D4A0A3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20235F1D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0804A378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4FFF475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5A51F961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15D8E604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CFCF0E2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4EB1E83D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1A2759B5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72A93DA8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61AF4C1E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1D07FEEE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56CBB6BE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602E7F66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72DA46DD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ADD922F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FE1064" w:rsidRPr="00DE27E2" w14:paraId="2237DB58" w14:textId="77777777" w:rsidTr="00472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7395" w14:textId="77777777" w:rsidR="00FE1064" w:rsidRPr="00DE27E2" w:rsidRDefault="008F38CC" w:rsidP="00F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</w:pPr>
            <w:r w:rsidRPr="00DE27E2"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  <w:t>I</w:t>
            </w:r>
            <w:r w:rsidR="00FE1064" w:rsidRPr="00DE27E2"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  <w:t>ZVJEŠTAJ O KVALITETU ZA 2016. GODINU</w:t>
            </w:r>
          </w:p>
        </w:tc>
      </w:tr>
      <w:tr w:rsidR="00FE1064" w:rsidRPr="00DE27E2" w14:paraId="4E9584FC" w14:textId="77777777" w:rsidTr="00472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68BFF" w14:textId="364B12BD" w:rsidR="00FE1064" w:rsidRPr="00DE27E2" w:rsidRDefault="00D353D8" w:rsidP="006601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</w:pPr>
            <w:r w:rsidRPr="00D353D8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sr-Latn-ME"/>
              </w:rPr>
              <w:t>Bilans naftnih derivata</w:t>
            </w:r>
          </w:p>
        </w:tc>
      </w:tr>
    </w:tbl>
    <w:p w14:paraId="591B9F19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3B35CF9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63027C98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7172BFA3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5A2ECA0C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500A15AF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2DEEC6EC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3C52183D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3478A118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2C8F3C2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423C0B61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48D6108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0ED02CC0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6351881B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49DF6327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9EBA5DD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0046C8D6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36935A0A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4DF1F020" w14:textId="5ABA344F" w:rsidR="00FE1064" w:rsidRPr="00DE27E2" w:rsidRDefault="00126F3B" w:rsidP="00057608">
      <w:pPr>
        <w:spacing w:after="120" w:line="240" w:lineRule="auto"/>
        <w:ind w:left="180"/>
        <w:rPr>
          <w:rFonts w:ascii="Times New Roman" w:eastAsia="Times New Roman" w:hAnsi="Times New Roman" w:cs="Times New Roman"/>
          <w:sz w:val="24"/>
          <w:szCs w:val="20"/>
          <w:lang w:val="sr-Latn-ME"/>
        </w:rPr>
      </w:pP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Odgovorn</w:t>
      </w:r>
      <w:r w:rsidR="00FA7891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o</w:t>
      </w: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 xml:space="preserve"> lic</w:t>
      </w:r>
      <w:r w:rsidR="000419A9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a</w:t>
      </w: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:</w:t>
      </w:r>
      <w:r w:rsidR="00B30AD9" w:rsidRPr="00DE27E2">
        <w:rPr>
          <w:rFonts w:ascii="Times New Roman" w:eastAsia="Times New Roman" w:hAnsi="Times New Roman" w:cs="Times New Roman"/>
          <w:sz w:val="24"/>
          <w:szCs w:val="20"/>
          <w:lang w:val="sr-Latn-ME"/>
        </w:rPr>
        <w:t xml:space="preserve"> </w:t>
      </w:r>
      <w:r w:rsidR="00F22BAA">
        <w:rPr>
          <w:rFonts w:ascii="Times New Roman" w:eastAsia="Times New Roman" w:hAnsi="Times New Roman" w:cs="Times New Roman"/>
          <w:sz w:val="24"/>
          <w:szCs w:val="20"/>
          <w:lang w:val="sr-Latn-ME"/>
        </w:rPr>
        <w:t>Mašan Raičević</w:t>
      </w:r>
    </w:p>
    <w:p w14:paraId="5595D038" w14:textId="1D820F60" w:rsidR="00126F3B" w:rsidRPr="00DE27E2" w:rsidRDefault="00B30AD9" w:rsidP="0005760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</w:pP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 xml:space="preserve">Odsjek: </w:t>
      </w:r>
      <w:r w:rsidR="00B63598" w:rsidRPr="00B63598">
        <w:rPr>
          <w:rFonts w:ascii="Times New Roman" w:eastAsia="Times New Roman" w:hAnsi="Times New Roman" w:cs="Times New Roman"/>
          <w:sz w:val="24"/>
          <w:szCs w:val="20"/>
          <w:lang w:val="sr-Latn-ME"/>
        </w:rPr>
        <w:t>Odsjek poslovnih statistika i kratkorocnih indikatora</w:t>
      </w:r>
    </w:p>
    <w:p w14:paraId="6F61D0F4" w14:textId="77777777" w:rsidR="00FE1064" w:rsidRPr="00FE1064" w:rsidRDefault="00FE1064" w:rsidP="001F25D9">
      <w:pPr>
        <w:spacing w:after="0" w:line="240" w:lineRule="auto"/>
        <w:ind w:firstLine="720"/>
        <w:rPr>
          <w:rFonts w:ascii="Arial" w:eastAsia="Times New Roman" w:hAnsi="Arial" w:cs="Arial"/>
          <w:szCs w:val="20"/>
          <w:lang w:val="sr-Latn-ME"/>
        </w:rPr>
      </w:pPr>
    </w:p>
    <w:p w14:paraId="169A0DF7" w14:textId="77777777" w:rsidR="00FE1064" w:rsidRPr="00FE1064" w:rsidRDefault="00FE1064" w:rsidP="001F25D9">
      <w:pPr>
        <w:spacing w:after="0" w:line="240" w:lineRule="auto"/>
        <w:ind w:firstLine="720"/>
        <w:rPr>
          <w:rFonts w:ascii="Arial" w:eastAsia="Times New Roman" w:hAnsi="Arial" w:cs="Arial"/>
          <w:szCs w:val="20"/>
          <w:lang w:val="sr-Latn-ME"/>
        </w:rPr>
      </w:pPr>
    </w:p>
    <w:p w14:paraId="2F1670CF" w14:textId="77777777" w:rsidR="00FE1064" w:rsidRPr="00FE1064" w:rsidRDefault="00FE1064" w:rsidP="001F25D9">
      <w:pPr>
        <w:spacing w:after="0" w:line="240" w:lineRule="auto"/>
        <w:ind w:firstLine="720"/>
        <w:rPr>
          <w:rFonts w:ascii="Arial" w:eastAsia="Times New Roman" w:hAnsi="Arial" w:cs="Arial"/>
          <w:szCs w:val="20"/>
          <w:lang w:val="sr-Latn-ME"/>
        </w:rPr>
      </w:pPr>
    </w:p>
    <w:p w14:paraId="0AF271E5" w14:textId="77777777" w:rsidR="00FE1064" w:rsidRPr="00FE1064" w:rsidRDefault="00FE1064" w:rsidP="00FE106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Cs w:val="20"/>
          <w:lang w:val="sr-Latn-ME"/>
        </w:rPr>
      </w:pPr>
    </w:p>
    <w:p w14:paraId="1208169E" w14:textId="77777777" w:rsidR="00FE1064" w:rsidRDefault="00FE1064" w:rsidP="00FE106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Cs w:val="20"/>
          <w:lang w:val="sr-Latn-ME"/>
        </w:rPr>
      </w:pPr>
      <w:r w:rsidRPr="00FE1064">
        <w:rPr>
          <w:rFonts w:ascii="Arial" w:eastAsia="Times New Roman" w:hAnsi="Arial" w:cs="Arial"/>
          <w:szCs w:val="20"/>
          <w:lang w:val="sr-Latn-M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836224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0"/>
        </w:rPr>
      </w:sdtEndPr>
      <w:sdtContent>
        <w:p w14:paraId="5B585642" w14:textId="77777777" w:rsidR="00046A8E" w:rsidRPr="00D80A8F" w:rsidRDefault="00046A8E" w:rsidP="0008678D">
          <w:pPr>
            <w:pStyle w:val="TOCHeading"/>
            <w:spacing w:after="120"/>
            <w:rPr>
              <w:rFonts w:ascii="Times New Roman" w:hAnsi="Times New Roman" w:cs="Times New Roman"/>
              <w:b/>
              <w:i/>
              <w:color w:val="auto"/>
              <w:sz w:val="28"/>
              <w:szCs w:val="20"/>
              <w:u w:val="single"/>
              <w:lang w:val="sr-Latn-ME"/>
            </w:rPr>
          </w:pPr>
          <w:r w:rsidRPr="00D80A8F">
            <w:rPr>
              <w:rFonts w:ascii="Times New Roman" w:hAnsi="Times New Roman" w:cs="Times New Roman"/>
              <w:b/>
              <w:i/>
              <w:color w:val="auto"/>
              <w:sz w:val="28"/>
              <w:szCs w:val="20"/>
              <w:u w:val="single"/>
            </w:rPr>
            <w:t>Sadr</w:t>
          </w:r>
          <w:r w:rsidRPr="00D80A8F">
            <w:rPr>
              <w:rFonts w:ascii="Times New Roman" w:hAnsi="Times New Roman" w:cs="Times New Roman"/>
              <w:b/>
              <w:i/>
              <w:color w:val="auto"/>
              <w:sz w:val="28"/>
              <w:szCs w:val="20"/>
              <w:u w:val="single"/>
              <w:lang w:val="sr-Latn-ME"/>
            </w:rPr>
            <w:t>žaj:</w:t>
          </w:r>
        </w:p>
        <w:p w14:paraId="5A4DEC39" w14:textId="77777777" w:rsidR="00CC176A" w:rsidRPr="0008678D" w:rsidRDefault="002478DE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r w:rsidRPr="0008678D">
            <w:rPr>
              <w:sz w:val="20"/>
              <w:szCs w:val="20"/>
            </w:rPr>
            <w:fldChar w:fldCharType="begin"/>
          </w:r>
          <w:r w:rsidRPr="0008678D">
            <w:rPr>
              <w:sz w:val="20"/>
              <w:szCs w:val="20"/>
            </w:rPr>
            <w:instrText xml:space="preserve"> TOC \o "1-4" \h \z \u </w:instrText>
          </w:r>
          <w:r w:rsidRPr="0008678D">
            <w:rPr>
              <w:sz w:val="20"/>
              <w:szCs w:val="20"/>
            </w:rPr>
            <w:fldChar w:fldCharType="separate"/>
          </w:r>
          <w:hyperlink w:anchor="_Toc509304727" w:history="1">
            <w:r w:rsidR="00CC176A" w:rsidRPr="0008678D">
              <w:rPr>
                <w:rStyle w:val="Hyperlink"/>
                <w:rFonts w:eastAsiaTheme="majorEastAsia"/>
              </w:rPr>
              <w:t>1. Uvod - Osnovne informacije o istraživanju</w:t>
            </w:r>
            <w:r w:rsidR="00CC176A" w:rsidRPr="0008678D">
              <w:rPr>
                <w:webHidden/>
              </w:rPr>
              <w:tab/>
            </w:r>
            <w:r w:rsidR="00CC176A" w:rsidRPr="0008678D">
              <w:rPr>
                <w:webHidden/>
              </w:rPr>
              <w:fldChar w:fldCharType="begin"/>
            </w:r>
            <w:r w:rsidR="00CC176A" w:rsidRPr="0008678D">
              <w:rPr>
                <w:webHidden/>
              </w:rPr>
              <w:instrText xml:space="preserve"> PAGEREF _Toc509304727 \h </w:instrText>
            </w:r>
            <w:r w:rsidR="00CC176A" w:rsidRPr="0008678D">
              <w:rPr>
                <w:webHidden/>
              </w:rPr>
            </w:r>
            <w:r w:rsidR="00CC176A" w:rsidRPr="0008678D">
              <w:rPr>
                <w:webHidden/>
              </w:rPr>
              <w:fldChar w:fldCharType="separate"/>
            </w:r>
            <w:r w:rsidR="0008678D">
              <w:rPr>
                <w:webHidden/>
              </w:rPr>
              <w:t>1</w:t>
            </w:r>
            <w:r w:rsidR="00CC176A" w:rsidRPr="0008678D">
              <w:rPr>
                <w:webHidden/>
              </w:rPr>
              <w:fldChar w:fldCharType="end"/>
            </w:r>
          </w:hyperlink>
        </w:p>
        <w:p w14:paraId="7A6C3500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28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 Svrha, cilj i predmet istraživanja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_Toc509304728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3A293A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29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 Pravni osnov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_Toc509304729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4C6305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0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 Statističke jedinice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_Toc509304730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7FA590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1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 Pokrivenost i obuhvat istraživanja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_Toc509304731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FF4AA0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32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1.4.1 Sektori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_Toc509304732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DE9046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33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1.4.2 Statistička populacija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_Toc509304733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51B774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4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1.5 Referentna geografska oblast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_Toc509304734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F7B7E1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5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1.6 Koncepti i definicije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_Toc509304735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560B4D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6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1.7 Klasifikacije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_Toc509304736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FC7DA3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7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1.8 Frekvencija prikupljanja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_Toc509304737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6CA8F1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8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1.9 Dinamika objavljivanja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_Toc509304738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99C70C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39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 Metodologija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_Toc509304739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75D241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0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1.11 Bazni period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_Toc509304740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0FD89C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1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1.12 Jedinica mjere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_Toc509304741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F5C012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2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1.13 Izvor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_Toc509304742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D665DA" w14:textId="77777777" w:rsidR="00CC176A" w:rsidRPr="0008678D" w:rsidRDefault="0063288D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743" w:history="1">
            <w:r w:rsidR="00CC176A" w:rsidRPr="0008678D">
              <w:rPr>
                <w:rStyle w:val="Hyperlink"/>
                <w:rFonts w:eastAsiaTheme="majorEastAsia"/>
              </w:rPr>
              <w:t>2. Relevantnost - Korisnici podataka</w:t>
            </w:r>
            <w:r w:rsidR="00CC176A" w:rsidRPr="0008678D">
              <w:rPr>
                <w:webHidden/>
              </w:rPr>
              <w:tab/>
            </w:r>
            <w:r w:rsidR="00CC176A" w:rsidRPr="0008678D">
              <w:rPr>
                <w:webHidden/>
              </w:rPr>
              <w:fldChar w:fldCharType="begin"/>
            </w:r>
            <w:r w:rsidR="00CC176A" w:rsidRPr="0008678D">
              <w:rPr>
                <w:webHidden/>
              </w:rPr>
              <w:instrText xml:space="preserve"> PAGEREF _Toc509304743 \h </w:instrText>
            </w:r>
            <w:r w:rsidR="00CC176A" w:rsidRPr="0008678D">
              <w:rPr>
                <w:webHidden/>
              </w:rPr>
            </w:r>
            <w:r w:rsidR="00CC176A" w:rsidRPr="0008678D">
              <w:rPr>
                <w:webHidden/>
              </w:rPr>
              <w:fldChar w:fldCharType="separate"/>
            </w:r>
            <w:r w:rsidR="0008678D">
              <w:rPr>
                <w:webHidden/>
              </w:rPr>
              <w:t>3</w:t>
            </w:r>
            <w:r w:rsidR="00CC176A" w:rsidRPr="0008678D">
              <w:rPr>
                <w:webHidden/>
              </w:rPr>
              <w:fldChar w:fldCharType="end"/>
            </w:r>
          </w:hyperlink>
        </w:p>
        <w:p w14:paraId="0E0E4B05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4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2.1 Potrebe korisnika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_Toc509304744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60A4CE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5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2.2 Zadovoljstvo korisnika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_Toc509304745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9F5032" w14:textId="77777777" w:rsidR="00CC176A" w:rsidRPr="0008678D" w:rsidRDefault="0063288D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746" w:history="1">
            <w:r w:rsidR="00CC176A" w:rsidRPr="0008678D">
              <w:rPr>
                <w:rStyle w:val="Hyperlink"/>
                <w:rFonts w:eastAsiaTheme="majorEastAsia"/>
              </w:rPr>
              <w:t>3. Tačnost i pouzdanost</w:t>
            </w:r>
            <w:r w:rsidR="00CC176A" w:rsidRPr="0008678D">
              <w:rPr>
                <w:webHidden/>
              </w:rPr>
              <w:tab/>
            </w:r>
            <w:r w:rsidR="00CC176A" w:rsidRPr="0008678D">
              <w:rPr>
                <w:webHidden/>
              </w:rPr>
              <w:fldChar w:fldCharType="begin"/>
            </w:r>
            <w:r w:rsidR="00CC176A" w:rsidRPr="0008678D">
              <w:rPr>
                <w:webHidden/>
              </w:rPr>
              <w:instrText xml:space="preserve"> PAGEREF _Toc509304746 \h </w:instrText>
            </w:r>
            <w:r w:rsidR="00CC176A" w:rsidRPr="0008678D">
              <w:rPr>
                <w:webHidden/>
              </w:rPr>
            </w:r>
            <w:r w:rsidR="00CC176A" w:rsidRPr="0008678D">
              <w:rPr>
                <w:webHidden/>
              </w:rPr>
              <w:fldChar w:fldCharType="separate"/>
            </w:r>
            <w:r w:rsidR="0008678D">
              <w:rPr>
                <w:webHidden/>
              </w:rPr>
              <w:t>3</w:t>
            </w:r>
            <w:r w:rsidR="00CC176A" w:rsidRPr="0008678D">
              <w:rPr>
                <w:webHidden/>
              </w:rPr>
              <w:fldChar w:fldCharType="end"/>
            </w:r>
          </w:hyperlink>
        </w:p>
        <w:p w14:paraId="35D47471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7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3.1 Tačnost - Opšta ocjena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_Toc509304747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83EAA5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8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3.2 Uzoračka greška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_Toc509304748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CD7C62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49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3.3 Neuzoračka greška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_Toc509304749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29772C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0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3.3.1 Greška obuhvata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_Toc509304750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CD95F8" w14:textId="77777777" w:rsidR="00CC176A" w:rsidRPr="0008678D" w:rsidRDefault="0063288D">
          <w:pPr>
            <w:pStyle w:val="TOC4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1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Indikator greške obuhvata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_Toc509304751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FF33C5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2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3.3.2 Greška mjerenja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_Toc509304752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71DCF6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3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3.3.3 Greška usljed neodaziva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_Toc509304753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36C5C0" w14:textId="77777777" w:rsidR="00CC176A" w:rsidRPr="0008678D" w:rsidRDefault="0063288D">
          <w:pPr>
            <w:pStyle w:val="TOC4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4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Stopa neodaziva jedinica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_Toc509304754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4D1E4E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55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3.4 Sezonska prilagođavanja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_Toc509304755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908216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56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3.5 Revizija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_Toc509304756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DB411D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7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3.5.1 Politika revizije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_Toc509304757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5DB514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8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3.5.2 Praksa revizije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_Toc509304758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F874F0" w14:textId="77777777" w:rsidR="00CC176A" w:rsidRPr="0008678D" w:rsidRDefault="0063288D">
          <w:pPr>
            <w:pStyle w:val="TOC3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59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3.5.3 Prosječna veličina revizije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_Toc509304759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AB0F9F" w14:textId="77777777" w:rsidR="00CC176A" w:rsidRPr="0008678D" w:rsidRDefault="0063288D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760" w:history="1">
            <w:r w:rsidR="00CC176A" w:rsidRPr="0008678D">
              <w:rPr>
                <w:rStyle w:val="Hyperlink"/>
                <w:rFonts w:eastAsiaTheme="majorEastAsia"/>
              </w:rPr>
              <w:t>4. Pravovremenost i tačnost objave podataka</w:t>
            </w:r>
            <w:r w:rsidR="00CC176A" w:rsidRPr="0008678D">
              <w:rPr>
                <w:webHidden/>
              </w:rPr>
              <w:tab/>
            </w:r>
            <w:r w:rsidR="00CC176A" w:rsidRPr="0008678D">
              <w:rPr>
                <w:webHidden/>
              </w:rPr>
              <w:fldChar w:fldCharType="begin"/>
            </w:r>
            <w:r w:rsidR="00CC176A" w:rsidRPr="0008678D">
              <w:rPr>
                <w:webHidden/>
              </w:rPr>
              <w:instrText xml:space="preserve"> PAGEREF _Toc509304760 \h </w:instrText>
            </w:r>
            <w:r w:rsidR="00CC176A" w:rsidRPr="0008678D">
              <w:rPr>
                <w:webHidden/>
              </w:rPr>
            </w:r>
            <w:r w:rsidR="00CC176A" w:rsidRPr="0008678D">
              <w:rPr>
                <w:webHidden/>
              </w:rPr>
              <w:fldChar w:fldCharType="separate"/>
            </w:r>
            <w:r w:rsidR="0008678D">
              <w:rPr>
                <w:webHidden/>
              </w:rPr>
              <w:t>4</w:t>
            </w:r>
            <w:r w:rsidR="00CC176A" w:rsidRPr="0008678D">
              <w:rPr>
                <w:webHidden/>
              </w:rPr>
              <w:fldChar w:fldCharType="end"/>
            </w:r>
          </w:hyperlink>
        </w:p>
        <w:p w14:paraId="32835175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61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4.1 Pravovremenost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_Toc509304761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D8B15E" w14:textId="77777777" w:rsidR="00CC176A" w:rsidRPr="0008678D" w:rsidRDefault="0063288D">
          <w:pPr>
            <w:pStyle w:val="TOC4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62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Vremenski jaz objave preliminarnih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_Toc509304762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19685E" w14:textId="77777777" w:rsidR="00CC176A" w:rsidRPr="0008678D" w:rsidRDefault="0063288D">
          <w:pPr>
            <w:pStyle w:val="TOC4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763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Vremenski jaz objave konačnih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_Toc509304763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C5DCDA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64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4.2 Tačnost objave 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_Toc509304764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B67707" w14:textId="77777777" w:rsidR="00CC176A" w:rsidRPr="0008678D" w:rsidRDefault="0063288D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765" w:history="1">
            <w:r w:rsidR="00CC176A" w:rsidRPr="0008678D">
              <w:rPr>
                <w:rStyle w:val="Hyperlink"/>
                <w:rFonts w:eastAsiaTheme="majorEastAsia"/>
              </w:rPr>
              <w:t>5. Dostupnost i jasnoća</w:t>
            </w:r>
            <w:r w:rsidR="00CC176A" w:rsidRPr="0008678D">
              <w:rPr>
                <w:webHidden/>
              </w:rPr>
              <w:tab/>
            </w:r>
            <w:r w:rsidR="00CC176A" w:rsidRPr="0008678D">
              <w:rPr>
                <w:webHidden/>
              </w:rPr>
              <w:fldChar w:fldCharType="begin"/>
            </w:r>
            <w:r w:rsidR="00CC176A" w:rsidRPr="0008678D">
              <w:rPr>
                <w:webHidden/>
              </w:rPr>
              <w:instrText xml:space="preserve"> PAGEREF _Toc509304765 \h </w:instrText>
            </w:r>
            <w:r w:rsidR="00CC176A" w:rsidRPr="0008678D">
              <w:rPr>
                <w:webHidden/>
              </w:rPr>
            </w:r>
            <w:r w:rsidR="00CC176A" w:rsidRPr="0008678D">
              <w:rPr>
                <w:webHidden/>
              </w:rPr>
              <w:fldChar w:fldCharType="separate"/>
            </w:r>
            <w:r w:rsidR="0008678D">
              <w:rPr>
                <w:webHidden/>
              </w:rPr>
              <w:t>5</w:t>
            </w:r>
            <w:r w:rsidR="00CC176A" w:rsidRPr="0008678D">
              <w:rPr>
                <w:webHidden/>
              </w:rPr>
              <w:fldChar w:fldCharType="end"/>
            </w:r>
          </w:hyperlink>
        </w:p>
        <w:p w14:paraId="77012D98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66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5.1 Saopštenja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_Toc509304766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3F0933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67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5.2 Publikacije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_Toc509304767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508913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68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5.3 Dostupnost mikropodataka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_Toc509304768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A76370" w14:textId="77777777" w:rsidR="00CC176A" w:rsidRPr="0008678D" w:rsidRDefault="0063288D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769" w:history="1">
            <w:r w:rsidR="00CC176A" w:rsidRPr="0008678D">
              <w:rPr>
                <w:rStyle w:val="Hyperlink"/>
                <w:rFonts w:eastAsiaTheme="majorEastAsia"/>
              </w:rPr>
              <w:t>6. Uporedivost</w:t>
            </w:r>
            <w:r w:rsidR="00CC176A" w:rsidRPr="0008678D">
              <w:rPr>
                <w:webHidden/>
              </w:rPr>
              <w:tab/>
            </w:r>
            <w:r w:rsidR="00CC176A" w:rsidRPr="0008678D">
              <w:rPr>
                <w:webHidden/>
              </w:rPr>
              <w:fldChar w:fldCharType="begin"/>
            </w:r>
            <w:r w:rsidR="00CC176A" w:rsidRPr="0008678D">
              <w:rPr>
                <w:webHidden/>
              </w:rPr>
              <w:instrText xml:space="preserve"> PAGEREF _Toc509304769 \h </w:instrText>
            </w:r>
            <w:r w:rsidR="00CC176A" w:rsidRPr="0008678D">
              <w:rPr>
                <w:webHidden/>
              </w:rPr>
            </w:r>
            <w:r w:rsidR="00CC176A" w:rsidRPr="0008678D">
              <w:rPr>
                <w:webHidden/>
              </w:rPr>
              <w:fldChar w:fldCharType="separate"/>
            </w:r>
            <w:r w:rsidR="0008678D">
              <w:rPr>
                <w:webHidden/>
              </w:rPr>
              <w:t>5</w:t>
            </w:r>
            <w:r w:rsidR="00CC176A" w:rsidRPr="0008678D">
              <w:rPr>
                <w:webHidden/>
              </w:rPr>
              <w:fldChar w:fldCharType="end"/>
            </w:r>
          </w:hyperlink>
        </w:p>
        <w:p w14:paraId="709E9FBE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70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6.1 Prostorna uporedivost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_Toc509304770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6336FC" w14:textId="77777777" w:rsidR="00CC176A" w:rsidRPr="0008678D" w:rsidRDefault="0063288D">
          <w:pPr>
            <w:pStyle w:val="TOC2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509304771" w:history="1">
            <w:r w:rsidR="00CC176A" w:rsidRPr="0008678D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6.2 Vremenska uporedivost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instrText xml:space="preserve"> PAGEREF _Toc509304771 \h </w:instrTex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678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C176A" w:rsidRPr="0008678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9CD894" w14:textId="77777777" w:rsidR="00862EA6" w:rsidRPr="00BC3100" w:rsidRDefault="002478DE" w:rsidP="00717657">
          <w:pPr>
            <w:rPr>
              <w:rFonts w:ascii="Times New Roman" w:eastAsia="Times New Roman" w:hAnsi="Times New Roman" w:cs="Times New Roman"/>
              <w:b/>
              <w:bCs/>
              <w:i/>
              <w:iCs/>
              <w:noProof/>
              <w:sz w:val="20"/>
              <w:szCs w:val="20"/>
              <w:lang w:val="sr-Latn-ME"/>
            </w:rPr>
            <w:sectPr w:rsidR="00862EA6" w:rsidRPr="00BC3100" w:rsidSect="001F25D9">
              <w:pgSz w:w="11907" w:h="16839" w:code="9"/>
              <w:pgMar w:top="850" w:right="850" w:bottom="850" w:left="850" w:header="720" w:footer="720" w:gutter="0"/>
              <w:pgNumType w:start="0"/>
              <w:cols w:space="720"/>
              <w:titlePg/>
              <w:docGrid w:linePitch="360"/>
            </w:sectPr>
          </w:pPr>
          <w:r w:rsidRPr="0008678D">
            <w:rPr>
              <w:rFonts w:ascii="Times New Roman" w:eastAsia="Times New Roman" w:hAnsi="Times New Roman" w:cs="Times New Roman"/>
              <w:b/>
              <w:bCs/>
              <w:i/>
              <w:iCs/>
              <w:noProof/>
              <w:sz w:val="20"/>
              <w:szCs w:val="20"/>
              <w:lang w:val="sr-Latn-ME"/>
            </w:rPr>
            <w:fldChar w:fldCharType="end"/>
          </w:r>
        </w:p>
      </w:sdtContent>
    </w:sdt>
    <w:tbl>
      <w:tblPr>
        <w:tblW w:w="10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3469"/>
        <w:gridCol w:w="3469"/>
      </w:tblGrid>
      <w:tr w:rsidR="00862EA6" w:rsidRPr="008D785F" w14:paraId="590EFD43" w14:textId="77777777" w:rsidTr="00862E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D89DE" w14:textId="77777777" w:rsidR="00862EA6" w:rsidRPr="00862EA6" w:rsidRDefault="00862EA6" w:rsidP="00862EA6">
            <w:pPr>
              <w:pStyle w:val="Heading1"/>
              <w:rPr>
                <w:rFonts w:eastAsia="Times New Roman" w:cs="Times New Roman"/>
                <w:lang w:val="sr-Latn-ME"/>
              </w:rPr>
            </w:pPr>
          </w:p>
        </w:tc>
      </w:tr>
      <w:tr w:rsidR="00862EA6" w:rsidRPr="008D785F" w14:paraId="2144B9AF" w14:textId="77777777" w:rsidTr="00862EA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6D798" w14:textId="77777777" w:rsidR="0027035E" w:rsidRPr="00057608" w:rsidRDefault="0027035E" w:rsidP="004D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M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BD69" w14:textId="77777777" w:rsidR="00862EA6" w:rsidRPr="00862EA6" w:rsidRDefault="00862EA6" w:rsidP="004D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1ACA" w14:textId="77777777" w:rsidR="00862EA6" w:rsidRPr="00862EA6" w:rsidRDefault="00862EA6" w:rsidP="004D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Latn-ME"/>
              </w:rPr>
            </w:pPr>
          </w:p>
        </w:tc>
      </w:tr>
      <w:tr w:rsidR="00760CE8" w:rsidRPr="008D785F" w14:paraId="4F333119" w14:textId="77777777" w:rsidTr="00862E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27C0D" w14:textId="77777777" w:rsidR="008923F6" w:rsidRDefault="008923F6" w:rsidP="00815B63">
            <w:pPr>
              <w:spacing w:after="0"/>
            </w:pPr>
          </w:p>
          <w:tbl>
            <w:tblPr>
              <w:tblW w:w="10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5"/>
              <w:gridCol w:w="266"/>
              <w:gridCol w:w="266"/>
            </w:tblGrid>
            <w:tr w:rsidR="008923F6" w:rsidRPr="008923F6" w14:paraId="6BD97689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03DA45" w14:textId="77777777" w:rsidR="008923F6" w:rsidRPr="008923F6" w:rsidRDefault="008923F6" w:rsidP="00815B63">
                  <w:pPr>
                    <w:pStyle w:val="Heading1"/>
                    <w:rPr>
                      <w:lang w:val="sr-Latn-ME"/>
                    </w:rPr>
                  </w:pPr>
                  <w:bookmarkStart w:id="1" w:name="_Toc509304727"/>
                  <w:r w:rsidRPr="008923F6">
                    <w:rPr>
                      <w:lang w:val="sr-Latn-ME"/>
                    </w:rPr>
                    <w:t>1. Uvod - Osnovne informacije o istraživanju</w:t>
                  </w:r>
                  <w:bookmarkEnd w:id="1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7D35D0C7" w14:textId="77777777" w:rsidTr="008923F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A54E13" w14:textId="77777777" w:rsidR="00B63598" w:rsidRPr="008923F6" w:rsidRDefault="00B63598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B0DC63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037F42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0E2ED95F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975F47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2" w:name="_Toc509304728"/>
                  <w:r w:rsidRPr="008923F6">
                    <w:rPr>
                      <w:lang w:val="sr-Latn-ME"/>
                    </w:rPr>
                    <w:t>1.1 Svrha, cilj i predmet istraživanja</w:t>
                  </w:r>
                  <w:bookmarkEnd w:id="2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16F0E75D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55DC4B" w14:textId="479DD37E" w:rsidR="008923F6" w:rsidRPr="008923F6" w:rsidRDefault="00D353D8" w:rsidP="00815B63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D353D8">
                    <w:rPr>
                      <w:rFonts w:ascii="Times New Roman" w:hAnsi="Times New Roman" w:cs="Times New Roman"/>
                      <w:lang w:val="sr-Latn-ME"/>
                    </w:rPr>
                    <w:t>Cilj istraživanja je izrada bilansa naftnih derivata. U bilansu naftnih derivata se prikazuju podaci o ostvarenom uvozu, izvozu, količinama zaliha na kraju godine i količini ostvarene potrošnje energenata kod krajnjih potrošača.</w:t>
                  </w:r>
                </w:p>
              </w:tc>
            </w:tr>
            <w:tr w:rsidR="00815B63" w:rsidRPr="008923F6" w14:paraId="6078ECCE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AF6449" w14:textId="77777777" w:rsidR="00815B63" w:rsidRPr="008923F6" w:rsidRDefault="00815B63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A70508" w14:textId="77777777" w:rsidR="00815B63" w:rsidRPr="008923F6" w:rsidRDefault="00815B63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62219001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E8A484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3" w:name="_Toc509304729"/>
                  <w:r w:rsidRPr="008923F6">
                    <w:rPr>
                      <w:lang w:val="sr-Latn-ME"/>
                    </w:rPr>
                    <w:t>1.2 Pravni osnov</w:t>
                  </w:r>
                  <w:bookmarkEnd w:id="3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FC2B9B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3E744F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9E6722" w14:textId="7824C03A" w:rsidR="008923F6" w:rsidRPr="008923F6" w:rsidRDefault="00565308" w:rsidP="00815B63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565308">
                    <w:rPr>
                      <w:rFonts w:ascii="Times New Roman" w:hAnsi="Times New Roman" w:cs="Times New Roman"/>
                      <w:lang w:val="sr-Latn-ME"/>
                    </w:rPr>
                    <w:t>Zakonom o zvaničnoj statistici i sistemu zvanične statistike (</w:t>
                  </w:r>
                  <w:r w:rsidRPr="00AB536D">
                    <w:rPr>
                      <w:rFonts w:ascii="Times New Roman" w:hAnsi="Times New Roman" w:cs="Times New Roman"/>
                      <w:i/>
                      <w:lang w:val="sr-Latn-ME"/>
                    </w:rPr>
                    <w:t>Sl.list Crne Gore br. 18/12</w:t>
                  </w:r>
                  <w:r w:rsidRPr="00565308">
                    <w:rPr>
                      <w:rFonts w:ascii="Times New Roman" w:hAnsi="Times New Roman" w:cs="Times New Roman"/>
                      <w:lang w:val="sr-Latn-ME"/>
                    </w:rPr>
                    <w:t>) definisane su odredbe za prikupljanje, obradu i diseminaciju podataka. Zakon pruža Zavodu za statistiku jasno i široko pravno ovlašćenje da prikuplja i pristupa podacima potrebnim za sprovođenje Programa i Godišnjeg plana. Zakon daje prioritet upotrebi administrativnih podataka, kao i  pravo  pristupa individualnim podacima koja su rezultat istraživanja ostalih proizvođača zvanične statistike. Kao dopuna zakonskim odredbama, Zavod za statistiku je potpisao nekoliko memoranduma o saradnji sa imaocima administratvnih podataka.</w:t>
                  </w:r>
                </w:p>
              </w:tc>
            </w:tr>
            <w:tr w:rsidR="00CB104B" w:rsidRPr="008923F6" w14:paraId="3977D820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2FD7D6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30014AAA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4E7C3E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4" w:name="_Toc509304730"/>
                  <w:r w:rsidRPr="008923F6">
                    <w:rPr>
                      <w:lang w:val="sr-Latn-ME"/>
                    </w:rPr>
                    <w:t>1.3 Statističke jedinice</w:t>
                  </w:r>
                  <w:bookmarkEnd w:id="4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006C1E43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9A2437" w14:textId="242E758C" w:rsidR="008923F6" w:rsidRPr="008923F6" w:rsidRDefault="00D353D8" w:rsidP="00815B63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D353D8">
                    <w:rPr>
                      <w:rFonts w:ascii="Times New Roman" w:hAnsi="Times New Roman" w:cs="Times New Roman"/>
                      <w:lang w:val="sr-Latn-ME"/>
                    </w:rPr>
                    <w:t>Izvještajne jedinice za bilans naftnih derivata su privredna društva koja se bave trgovinom i prometom naftnih derivata. Bilans naftnih derivata obuhvata i podatke iz statističkih istraživanja iz oblasti statistike energetike, spoljne trgovine, industrije, saobraćaja i poljoprivrede.</w:t>
                  </w:r>
                </w:p>
              </w:tc>
            </w:tr>
            <w:tr w:rsidR="00CB104B" w:rsidRPr="008923F6" w14:paraId="6CC2C161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C73ED7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5B02208C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D1A05E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5" w:name="_Toc509304731"/>
                  <w:r w:rsidRPr="008923F6">
                    <w:rPr>
                      <w:lang w:val="sr-Latn-ME"/>
                    </w:rPr>
                    <w:t>1.4 Pokrivenost i obuhvat istraživanja</w:t>
                  </w:r>
                  <w:bookmarkEnd w:id="5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15B63" w:rsidRPr="008923F6" w14:paraId="7F360B05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1EC115" w14:textId="77777777" w:rsidR="00815B63" w:rsidRPr="008923F6" w:rsidRDefault="00815B63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E249CD" w14:textId="77777777" w:rsidR="00815B63" w:rsidRPr="008923F6" w:rsidRDefault="00815B63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0432B9B4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A77D76" w14:textId="77777777" w:rsidR="008923F6" w:rsidRPr="008923F6" w:rsidRDefault="008923F6" w:rsidP="00CC176A">
                  <w:pPr>
                    <w:pStyle w:val="Heading3"/>
                    <w:rPr>
                      <w:lang w:val="sr-Latn-ME"/>
                    </w:rPr>
                  </w:pPr>
                  <w:bookmarkStart w:id="6" w:name="_Toc509304732"/>
                  <w:r w:rsidRPr="008923F6">
                    <w:rPr>
                      <w:lang w:val="sr-Latn-ME"/>
                    </w:rPr>
                    <w:t>1.4.1 Sektori</w:t>
                  </w:r>
                  <w:bookmarkEnd w:id="6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851991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1A771E6" w14:textId="77777777" w:rsidTr="00FA7891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0AE2B1" w14:textId="11966E57" w:rsidR="008923F6" w:rsidRPr="008923F6" w:rsidRDefault="00D353D8" w:rsidP="00815B63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D353D8">
                    <w:rPr>
                      <w:rFonts w:ascii="Times New Roman" w:hAnsi="Times New Roman" w:cs="Times New Roman"/>
                      <w:lang w:val="sr-Latn-ME"/>
                    </w:rPr>
                    <w:t>Izvještajne jedinice za bilans naftnih derivata su privredna društva koja se bave trgovinom i prometom naftnih derivata. Bilans naftnih derivata obuhvata i podatke iz statističkih istraživanja iz oblasti statistike energetike, spoljne trgovine, industrije, saobraćaja i poljoprivrede.</w:t>
                  </w:r>
                </w:p>
              </w:tc>
            </w:tr>
            <w:tr w:rsidR="00CB104B" w:rsidRPr="008923F6" w14:paraId="0EBFE805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41B4BF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5A1A872A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C956FA" w14:textId="77777777" w:rsidR="008923F6" w:rsidRPr="008923F6" w:rsidRDefault="008923F6" w:rsidP="00CC176A">
                  <w:pPr>
                    <w:pStyle w:val="Heading3"/>
                    <w:rPr>
                      <w:lang w:val="sr-Latn-ME"/>
                    </w:rPr>
                  </w:pPr>
                  <w:bookmarkStart w:id="7" w:name="_Toc509304733"/>
                  <w:r w:rsidRPr="008923F6">
                    <w:rPr>
                      <w:lang w:val="sr-Latn-ME"/>
                    </w:rPr>
                    <w:t>1.4.2 Statistička populacija</w:t>
                  </w:r>
                  <w:bookmarkEnd w:id="7"/>
                </w:p>
              </w:tc>
            </w:tr>
            <w:tr w:rsidR="008923F6" w:rsidRPr="008923F6" w14:paraId="5996F77F" w14:textId="77777777" w:rsidTr="00FA7891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C04800" w14:textId="2E421757" w:rsidR="008923F6" w:rsidRPr="008923F6" w:rsidRDefault="00D353D8" w:rsidP="00815B63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D353D8">
                    <w:rPr>
                      <w:rFonts w:ascii="Times New Roman" w:hAnsi="Times New Roman" w:cs="Times New Roman"/>
                      <w:lang w:val="sr-Latn-ME"/>
                    </w:rPr>
                    <w:t>Podaci se prikupljaju od privrednih društava koja se bave trgovinom i prometom naftnih derivata.</w:t>
                  </w:r>
                </w:p>
              </w:tc>
            </w:tr>
            <w:tr w:rsidR="00CB104B" w:rsidRPr="008923F6" w14:paraId="5FCFD432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6070B0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4A34A4C5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A1B8A1" w14:textId="761714C4" w:rsidR="008923F6" w:rsidRPr="008923F6" w:rsidRDefault="00815B63" w:rsidP="00815B63">
                  <w:pPr>
                    <w:pStyle w:val="Heading2"/>
                    <w:rPr>
                      <w:lang w:val="sr-Latn-ME"/>
                    </w:rPr>
                  </w:pPr>
                  <w:bookmarkStart w:id="8" w:name="_Toc509304734"/>
                  <w:r>
                    <w:rPr>
                      <w:lang w:val="sr-Latn-ME"/>
                    </w:rPr>
                    <w:t>1.5 Refe</w:t>
                  </w:r>
                  <w:r w:rsidR="008923F6" w:rsidRPr="008923F6">
                    <w:rPr>
                      <w:lang w:val="sr-Latn-ME"/>
                    </w:rPr>
                    <w:t>rentna geografska oblast</w:t>
                  </w:r>
                  <w:bookmarkEnd w:id="8"/>
                  <w:r w:rsidR="008923F6"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4206374E" w14:textId="77777777" w:rsidTr="00FA7891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200D1" w14:textId="6E61626C" w:rsidR="008923F6" w:rsidRPr="008923F6" w:rsidRDefault="00815B63" w:rsidP="00815B63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lang w:val="sr-Latn-ME"/>
                    </w:rPr>
                    <w:t>Refe</w:t>
                  </w:r>
                  <w:r w:rsidR="007C19F8" w:rsidRPr="007C19F8">
                    <w:rPr>
                      <w:rFonts w:ascii="Times New Roman" w:hAnsi="Times New Roman" w:cs="Times New Roman"/>
                      <w:lang w:val="sr-Latn-ME"/>
                    </w:rPr>
                    <w:t>rentna geografska oblast</w:t>
                  </w:r>
                  <w:r w:rsidR="007C19F8">
                    <w:rPr>
                      <w:rFonts w:ascii="Times New Roman" w:hAnsi="Times New Roman" w:cs="Times New Roman"/>
                      <w:lang w:val="sr-Latn-ME"/>
                    </w:rPr>
                    <w:t xml:space="preserve"> je Crna Gora.</w:t>
                  </w:r>
                  <w:r w:rsidR="007C19F8" w:rsidRPr="007C19F8">
                    <w:rPr>
                      <w:rFonts w:ascii="Times New Roman" w:hAnsi="Times New Roman" w:cs="Times New Roman"/>
                      <w:lang w:val="sr-Latn-ME"/>
                    </w:rPr>
                    <w:t xml:space="preserve">  </w:t>
                  </w:r>
                </w:p>
              </w:tc>
            </w:tr>
            <w:tr w:rsidR="00CB104B" w:rsidRPr="008923F6" w14:paraId="2EC3C62B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12368F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0C9450E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847BF6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9" w:name="_Toc509304735"/>
                  <w:r w:rsidRPr="008923F6">
                    <w:rPr>
                      <w:lang w:val="sr-Latn-ME"/>
                    </w:rPr>
                    <w:t>1.6 Koncepti i definicije</w:t>
                  </w:r>
                  <w:bookmarkEnd w:id="9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3A3B748A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9CE8C1" w14:textId="77777777" w:rsidR="004D573B" w:rsidRDefault="00F14AC9" w:rsidP="004D573B">
                  <w:pPr>
                    <w:spacing w:before="8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Proizvodnja domaće primarne energije je oblik energije koji nije bio podvrgnut procesu konverzije ili transformacije (ugalj, nafta, prirodni gas, biomasa, ogrijevno drvo, hidroelektrična energija, geotermalna energija, energija vjetra i solarna energija). Povraćeni proizvodi su rijetki, a prisutni su da bi pokrili izvore goriva koji se obnavljaju od goriva već proizvedenih, ali se ne broje ili čuvaju. Npr. otpad uglja se može kasnije povratiti za upotrebu. Uvoz i izvoz obuhvataju količine koje su prešle preko nacionalne granice. Saldo zaliha je razlika između zaliha u prvom danu u godini (početne zalihe) i zaliha u poslednjem danu u godini (krajnje zalihe). </w:t>
                  </w:r>
                </w:p>
                <w:p w14:paraId="58860AC2" w14:textId="77777777" w:rsidR="004D573B" w:rsidRDefault="00F14AC9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Međunarodna skladišta obuhvataju količine isporučene za potrebe međunarodne brodske plovidbe. Statistička razlika je kategorija koja uključuje zbir neobjašnjenih statističkih razlika između proizvodnje i potrošnje za pojedine energente. Bruto domaća potrošnja energije izračunava se na sljedeći način: </w:t>
                  </w:r>
                </w:p>
                <w:p w14:paraId="205A3B52" w14:textId="77777777" w:rsidR="004D573B" w:rsidRDefault="00F14AC9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Proizvodnja domaće primarne energije  +Uvoz  -Izvoz  +Saldo zaliha  -Međunarodna skladišta. Transformacije - ulaz je utrošak goriva kao sirovine za proizvodnju energije u termoelektranama, TE-TO, industrijskim energanama, toplanama, rafinerijama, visokim pećima i preradi uglja. Transformacije - izlaz obuhvata proizvodnju transformisanih oblika energije (termoelektrična energija, toplotna energija, derivati nafte, visokopečni gas i konvertorski gas). </w:t>
                  </w:r>
                </w:p>
                <w:p w14:paraId="373383EC" w14:textId="77777777" w:rsidR="004D573B" w:rsidRDefault="004D573B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0B4BC083" w14:textId="77777777" w:rsidR="004D573B" w:rsidRDefault="004D573B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4E58B8D8" w14:textId="77777777" w:rsidR="004D573B" w:rsidRDefault="00F14AC9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Razmjena i transferi obuhvataju razmjenu međufaznih proizvoda (frakcije, destilati), gotovih proizvoda (hidroelektrična energija) i proizvoda koji se ponovo prerađuju (primarni benzin, mazut, maziva). Potrošnja grane energetike obuhvata energiju utrošenu za rad u energetskom sektoru. </w:t>
                  </w:r>
                </w:p>
                <w:p w14:paraId="7CFA50FF" w14:textId="77777777" w:rsidR="004D573B" w:rsidRDefault="00F14AC9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Gubici prenosa i distribucije energije obuhvataju gubitke nastale: </w:t>
                  </w:r>
                </w:p>
                <w:p w14:paraId="339E20DA" w14:textId="77777777" w:rsidR="004D573B" w:rsidRDefault="00F14AC9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za električnu energiju: pri prenosu i distribuciji; </w:t>
                  </w:r>
                </w:p>
                <w:p w14:paraId="5FC0CB97" w14:textId="77777777" w:rsidR="004D573B" w:rsidRDefault="00F14AC9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za čvrsta goriva: pri transportu; </w:t>
                  </w:r>
                </w:p>
                <w:p w14:paraId="3451143E" w14:textId="77777777" w:rsidR="004D573B" w:rsidRDefault="00F14AC9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za tečna goriva: pri transportu i distribuciji; </w:t>
                  </w:r>
                </w:p>
                <w:p w14:paraId="77859BBB" w14:textId="77777777" w:rsidR="004D573B" w:rsidRDefault="004D573B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lang w:val="sr-Latn-ME"/>
                    </w:rPr>
                    <w:t xml:space="preserve">- </w:t>
                  </w:r>
                  <w:r w:rsidR="00F14AC9"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za ogrijevno drvo: pri transportu. </w:t>
                  </w:r>
                </w:p>
                <w:p w14:paraId="2CDD37F3" w14:textId="77777777" w:rsidR="004D573B" w:rsidRDefault="00F14AC9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Energija raspoloživa za finalnu potrošnju predstavlja energiju namijenjenu krajnjim potrošačima. </w:t>
                  </w:r>
                </w:p>
                <w:p w14:paraId="5C1304D8" w14:textId="77777777" w:rsidR="004D573B" w:rsidRDefault="00F14AC9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Finalna potrošnja za neenergetske svrhe obuhvata finalnu potrošnju raspoložive energije kao  sirovine u tehnološkom procesu za proizvodnju neenergetskih proizvoda, pri čemu se od ukupnog utroška posebno prikazuje utrošak u hemijskoj industriji. </w:t>
                  </w:r>
                </w:p>
                <w:p w14:paraId="013C89F0" w14:textId="77777777" w:rsidR="004D573B" w:rsidRDefault="00F14AC9" w:rsidP="004D573B">
                  <w:pPr>
                    <w:spacing w:before="40"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Finalna potrošnja energije obuhvata finalnu potrošnju raspoložive energije za energetske svrhe u: </w:t>
                  </w:r>
                </w:p>
                <w:p w14:paraId="137AD86E" w14:textId="77777777" w:rsidR="004D573B" w:rsidRDefault="00F14AC9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industriji (crna metalurgija, obojeni metali, hemijska industrija, nemetalni minerali, vađenje rude i kamena, prehrambeni proizvodi, pića i duvan, tekstil i koža, papir, celuloza i štampanje, mašine i oprema, ostala industrija); </w:t>
                  </w:r>
                </w:p>
                <w:p w14:paraId="6DEC7D4F" w14:textId="77777777" w:rsidR="004D573B" w:rsidRDefault="00F14AC9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saobraćaju (željeznice, drumski, vazdušni, brodski i ostali saobraćaj); </w:t>
                  </w:r>
                </w:p>
                <w:p w14:paraId="4D800C33" w14:textId="77777777" w:rsidR="004D573B" w:rsidRDefault="00F14AC9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domaćinstvima, poljoprivredi i </w:t>
                  </w:r>
                </w:p>
                <w:p w14:paraId="30F175A8" w14:textId="517E0724" w:rsidR="008923F6" w:rsidRPr="008923F6" w:rsidRDefault="004D573B" w:rsidP="004D57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lang w:val="sr-Latn-ME"/>
                    </w:rPr>
                    <w:t xml:space="preserve">- </w:t>
                  </w:r>
                  <w:r w:rsidR="00F14AC9" w:rsidRPr="00F14AC9">
                    <w:rPr>
                      <w:rFonts w:ascii="Times New Roman" w:hAnsi="Times New Roman" w:cs="Times New Roman"/>
                      <w:lang w:val="sr-Latn-ME"/>
                    </w:rPr>
                    <w:t>ostalo (sva domaćinstva, uključujući i domaćinstva sa zaposlenim licima, poljoprivreda i ostali potrošači, npr. školstvo, zdravstvo, administracija, itd.).</w:t>
                  </w:r>
                </w:p>
              </w:tc>
            </w:tr>
            <w:tr w:rsidR="00CB104B" w:rsidRPr="008923F6" w14:paraId="20A773BE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730246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2AFFE3" w14:textId="77777777" w:rsidR="00CB104B" w:rsidRPr="008923F6" w:rsidRDefault="00CB104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196146A5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F2A90D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0" w:name="_Toc509304736"/>
                  <w:r w:rsidRPr="008923F6">
                    <w:rPr>
                      <w:lang w:val="sr-Latn-ME"/>
                    </w:rPr>
                    <w:t>1.7 Klasifikacije</w:t>
                  </w:r>
                  <w:bookmarkEnd w:id="10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4C262D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7FC3149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DFE78E" w14:textId="2055831E" w:rsidR="008923F6" w:rsidRPr="008923F6" w:rsidRDefault="00F14A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NACE Rev.2</w:t>
                  </w:r>
                </w:p>
              </w:tc>
            </w:tr>
            <w:tr w:rsidR="00CB104B" w:rsidRPr="008923F6" w14:paraId="233C37A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79303B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0073DD9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F9D52B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1" w:name="_Toc509304737"/>
                  <w:r w:rsidRPr="008923F6">
                    <w:rPr>
                      <w:lang w:val="sr-Latn-ME"/>
                    </w:rPr>
                    <w:t>1.8 Frekvencija prikupljanja podataka</w:t>
                  </w:r>
                  <w:bookmarkEnd w:id="11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25764BAC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09A7C6" w14:textId="306CFC41" w:rsidR="008923F6" w:rsidRPr="008923F6" w:rsidRDefault="00F14A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Godišnja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.</w:t>
                  </w:r>
                </w:p>
              </w:tc>
            </w:tr>
            <w:tr w:rsidR="00CB104B" w:rsidRPr="008923F6" w14:paraId="737FDBD5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881AFB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64167361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41C459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2" w:name="_Toc509304738"/>
                  <w:r w:rsidRPr="008923F6">
                    <w:rPr>
                      <w:lang w:val="sr-Latn-ME"/>
                    </w:rPr>
                    <w:t>1.9 Dinamika objavljivanja podataka</w:t>
                  </w:r>
                  <w:bookmarkEnd w:id="12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06A729A0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554367" w14:textId="4DFAFA9B" w:rsidR="008923F6" w:rsidRPr="008923F6" w:rsidRDefault="00F14A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Ovo istraživanje se diseminira godisnje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07A739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CB104B" w:rsidRPr="008923F6" w14:paraId="0E58BDBC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DEA799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D054F9" w14:textId="77777777" w:rsidR="00CB104B" w:rsidRPr="008923F6" w:rsidRDefault="00CB104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45FD59CA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F4929A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3" w:name="_Toc509304739"/>
                  <w:r w:rsidRPr="008923F6">
                    <w:rPr>
                      <w:lang w:val="sr-Latn-ME"/>
                    </w:rPr>
                    <w:t>1.10 Metodologija</w:t>
                  </w:r>
                  <w:bookmarkEnd w:id="13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A8EF9F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443BF46D" w14:textId="77777777" w:rsidTr="00FA7891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6A689C" w14:textId="64BB1563" w:rsidR="008923F6" w:rsidRPr="008923F6" w:rsidRDefault="0063288D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hyperlink r:id="rId10" w:history="1">
                    <w:r w:rsidR="004D573B" w:rsidRPr="002D4AE0">
                      <w:rPr>
                        <w:rStyle w:val="Hyperlink"/>
                        <w:rFonts w:ascii="Times New Roman" w:hAnsi="Times New Roman" w:cs="Times New Roman"/>
                        <w:lang w:val="sr-Latn-ME"/>
                      </w:rPr>
                      <w:t>http://monstat.org/userfiles/file/ENERGETIKA/metodologije/Metodologija_Bilans%20naftnih%20derivata_CG.pdf</w:t>
                    </w:r>
                  </w:hyperlink>
                  <w:r w:rsidR="004D573B">
                    <w:rPr>
                      <w:rFonts w:ascii="Times New Roman" w:hAnsi="Times New Roman" w:cs="Times New Roman"/>
                      <w:lang w:val="sr-Latn-ME"/>
                    </w:rPr>
                    <w:t xml:space="preserve"> </w:t>
                  </w:r>
                </w:p>
              </w:tc>
            </w:tr>
            <w:tr w:rsidR="00CB104B" w:rsidRPr="008923F6" w14:paraId="4585852E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F8DE38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71D858" w14:textId="77777777" w:rsidR="00CB104B" w:rsidRPr="008923F6" w:rsidRDefault="00CB104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573DBA0A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1CC593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4" w:name="_Toc509304740"/>
                  <w:r w:rsidRPr="008923F6">
                    <w:rPr>
                      <w:lang w:val="sr-Latn-ME"/>
                    </w:rPr>
                    <w:t>1.11 Bazni period</w:t>
                  </w:r>
                  <w:bookmarkEnd w:id="14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D47949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67B359DE" w14:textId="77777777" w:rsidTr="00FA7891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16E746" w14:textId="703B87F4" w:rsidR="008923F6" w:rsidRPr="008923F6" w:rsidRDefault="00F14A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Referentna godina</w:t>
                  </w:r>
                </w:p>
              </w:tc>
            </w:tr>
            <w:tr w:rsidR="00CB104B" w:rsidRPr="008923F6" w14:paraId="71802BCD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4D1229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BE6046" w14:textId="77777777" w:rsidR="00CB104B" w:rsidRPr="008923F6" w:rsidRDefault="00CB104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EC5F29A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8B9A26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5" w:name="_Toc509304741"/>
                  <w:r w:rsidRPr="008923F6">
                    <w:rPr>
                      <w:lang w:val="sr-Latn-ME"/>
                    </w:rPr>
                    <w:t>1.12 Jedinica mjere</w:t>
                  </w:r>
                  <w:bookmarkEnd w:id="15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A5915A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35F6FD2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F8CDAA" w14:textId="0714A1DF" w:rsidR="008923F6" w:rsidRPr="008923F6" w:rsidRDefault="00D353D8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D353D8">
                    <w:rPr>
                      <w:rFonts w:ascii="Times New Roman" w:hAnsi="Times New Roman" w:cs="Times New Roman"/>
                      <w:lang w:val="sr-Latn-ME"/>
                    </w:rPr>
                    <w:t>1000 tona, TJ</w:t>
                  </w:r>
                </w:p>
              </w:tc>
            </w:tr>
            <w:tr w:rsidR="00CB104B" w:rsidRPr="008923F6" w14:paraId="3E4F4C6C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F90C08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2F0E0F06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5A8786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6" w:name="_Toc509304742"/>
                  <w:r w:rsidRPr="008923F6">
                    <w:rPr>
                      <w:lang w:val="sr-Latn-ME"/>
                    </w:rPr>
                    <w:t>1.13 Izvor podataka</w:t>
                  </w:r>
                  <w:bookmarkEnd w:id="16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7D305DEB" w14:textId="77777777" w:rsidTr="00FA7891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632FDF" w14:textId="25719DDA" w:rsidR="008923F6" w:rsidRPr="008923F6" w:rsidRDefault="00D353D8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D353D8">
                    <w:rPr>
                      <w:rFonts w:ascii="Times New Roman" w:hAnsi="Times New Roman" w:cs="Times New Roman"/>
                      <w:lang w:val="sr-Latn-ME"/>
                    </w:rPr>
                    <w:t>Izvještajne jedinice za istraživanje o bilansima naftnih derivata su privredna društva koja se bave trgovinom i prometom naftnih derivata.</w:t>
                  </w:r>
                </w:p>
              </w:tc>
            </w:tr>
            <w:tr w:rsidR="008923F6" w:rsidRPr="008923F6" w14:paraId="278F4C75" w14:textId="77777777" w:rsidTr="008923F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306555" w14:textId="77777777" w:rsid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73AC5D12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367B6AA9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37B79742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19328BDB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432C11F9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0CBA46E4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438FED64" w14:textId="77777777" w:rsidR="004D573B" w:rsidRPr="008923F6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92FA43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978327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0160606B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74DD73" w14:textId="77777777" w:rsidR="008923F6" w:rsidRPr="008923F6" w:rsidRDefault="008923F6" w:rsidP="00815B63">
                  <w:pPr>
                    <w:pStyle w:val="Heading1"/>
                    <w:rPr>
                      <w:lang w:val="sr-Latn-ME"/>
                    </w:rPr>
                  </w:pPr>
                  <w:bookmarkStart w:id="17" w:name="_Toc509304743"/>
                  <w:r w:rsidRPr="008923F6">
                    <w:rPr>
                      <w:lang w:val="sr-Latn-ME"/>
                    </w:rPr>
                    <w:lastRenderedPageBreak/>
                    <w:t>2. Relevantnost - Korisnici podataka</w:t>
                  </w:r>
                  <w:bookmarkEnd w:id="17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CB104B" w:rsidRPr="008923F6" w14:paraId="0CC8D624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750189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2DC09868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1F244F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8" w:name="_Toc509304744"/>
                  <w:r w:rsidRPr="008923F6">
                    <w:rPr>
                      <w:lang w:val="sr-Latn-ME"/>
                    </w:rPr>
                    <w:t>2.1 Potrebe korisnika</w:t>
                  </w:r>
                  <w:bookmarkEnd w:id="18"/>
                </w:p>
              </w:tc>
            </w:tr>
            <w:tr w:rsidR="008923F6" w:rsidRPr="008923F6" w14:paraId="303D1DA0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C3A1F0" w14:textId="77777777" w:rsidR="008923F6" w:rsidRPr="00862EA6" w:rsidRDefault="008923F6" w:rsidP="004D573B">
                  <w:pPr>
                    <w:spacing w:before="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  <w:t xml:space="preserve">Međunarodni korisnici: </w:t>
                  </w:r>
                </w:p>
                <w:p w14:paraId="752834EC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Eurostat;</w:t>
                  </w:r>
                </w:p>
                <w:p w14:paraId="22833F8B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Svjetska banka;</w:t>
                  </w:r>
                </w:p>
                <w:p w14:paraId="20296A13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UN organizacije;</w:t>
                  </w:r>
                </w:p>
                <w:p w14:paraId="6FD725AE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Međunarodni monetarni fond.</w:t>
                  </w:r>
                </w:p>
                <w:p w14:paraId="2BCD68B1" w14:textId="77777777" w:rsidR="008923F6" w:rsidRPr="00862EA6" w:rsidRDefault="008923F6" w:rsidP="0027035E">
                  <w:pPr>
                    <w:spacing w:before="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  <w:t xml:space="preserve">Nacionalni korisnici: </w:t>
                  </w:r>
                </w:p>
                <w:p w14:paraId="0236181C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Ministarstva i drugi organi javne uprave;</w:t>
                  </w:r>
                </w:p>
                <w:p w14:paraId="70479A6C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 xml:space="preserve">- Lokalne samouprave i drugi organi lokalne uprave; </w:t>
                  </w:r>
                </w:p>
                <w:p w14:paraId="05FC208B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 xml:space="preserve">- Centralna banka; </w:t>
                  </w:r>
                </w:p>
                <w:p w14:paraId="34792FEA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nevladine organizacije;</w:t>
                  </w:r>
                </w:p>
                <w:p w14:paraId="282FFF6C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studenti;</w:t>
                  </w:r>
                </w:p>
                <w:p w14:paraId="54669CC9" w14:textId="77777777" w:rsidR="008923F6" w:rsidRPr="00862EA6" w:rsidRDefault="008923F6" w:rsidP="00815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istraživači;</w:t>
                  </w:r>
                </w:p>
                <w:p w14:paraId="50A39FFA" w14:textId="7F99C0F4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mediji.</w:t>
                  </w:r>
                </w:p>
              </w:tc>
            </w:tr>
            <w:tr w:rsidR="00CB104B" w:rsidRPr="008923F6" w14:paraId="6E99696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5C78F6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0FF8C50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A65ADE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19" w:name="_Toc509304745"/>
                  <w:r w:rsidRPr="008923F6">
                    <w:rPr>
                      <w:lang w:val="sr-Latn-ME"/>
                    </w:rPr>
                    <w:t>2.2 Zadovoljstvo korisnika</w:t>
                  </w:r>
                  <w:bookmarkEnd w:id="19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284A3EC0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AB50DE" w14:textId="4AF8AAC7" w:rsidR="008923F6" w:rsidRPr="008923F6" w:rsidRDefault="008923F6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U cilju utvr</w:t>
                  </w:r>
                  <w:r w:rsidR="00D80A8F"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ivanja zadovoljstva korisnika kvalitetom podataka i utvr</w:t>
                  </w:r>
                  <w:r w:rsidR="00D80A8F"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ivanjem njihovih potreba, Zavod za statistiku po prvi put sprovodi “Istraživanje o zadovoljstvu korisnika” u 2017. godini. Istraživanje je realizovano u periodu od 1. septembra do 20. oktobra. Link sa anketom je poslat svim korisnicima koji su u periodu od 2013-2017. poslali zahtjev za podacima na zvani</w:t>
                  </w:r>
                  <w:r w:rsidR="00D80A8F"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 xml:space="preserve">nu mail adresu. Pored toga, upitnik je postavljen na web stranici Zavoda za statistiku. </w:t>
                  </w:r>
                </w:p>
              </w:tc>
            </w:tr>
            <w:tr w:rsidR="008923F6" w:rsidRPr="008923F6" w14:paraId="420F1CD2" w14:textId="77777777" w:rsidTr="008923F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560705" w14:textId="77777777" w:rsidR="008923F6" w:rsidRPr="004D573B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58184B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A8C80C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785F03F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D1816C" w14:textId="77777777" w:rsidR="008923F6" w:rsidRPr="008923F6" w:rsidRDefault="008923F6" w:rsidP="00815B63">
                  <w:pPr>
                    <w:pStyle w:val="Heading1"/>
                    <w:rPr>
                      <w:lang w:val="sr-Latn-ME"/>
                    </w:rPr>
                  </w:pPr>
                  <w:bookmarkStart w:id="20" w:name="_Toc509304746"/>
                  <w:r w:rsidRPr="008923F6">
                    <w:rPr>
                      <w:lang w:val="sr-Latn-ME"/>
                    </w:rPr>
                    <w:t>3. Tačnost i pouzdanost</w:t>
                  </w:r>
                  <w:bookmarkEnd w:id="20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4D573B" w:rsidRPr="008923F6" w14:paraId="4FF8380C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F415E2" w14:textId="77777777" w:rsidR="004D573B" w:rsidRPr="008923F6" w:rsidRDefault="004D573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4F1F433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2824F8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21" w:name="_Toc509304747"/>
                  <w:r w:rsidRPr="008923F6">
                    <w:rPr>
                      <w:lang w:val="sr-Latn-ME"/>
                    </w:rPr>
                    <w:t>3.1 Tačnost - Opšta ocjena</w:t>
                  </w:r>
                  <w:bookmarkEnd w:id="21"/>
                </w:p>
              </w:tc>
            </w:tr>
            <w:tr w:rsidR="008923F6" w:rsidRPr="008923F6" w14:paraId="6B38BF33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6372D1" w14:textId="0E307E02" w:rsidR="008923F6" w:rsidRPr="008923F6" w:rsidRDefault="00F14A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CB104B" w:rsidRPr="008923F6" w14:paraId="7D4B5084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6A765B" w14:textId="77777777" w:rsidR="00CB104B" w:rsidRPr="008923F6" w:rsidRDefault="00CB104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132A9561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0BEA5B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22" w:name="_Toc509304748"/>
                  <w:r w:rsidRPr="008923F6">
                    <w:rPr>
                      <w:lang w:val="sr-Latn-ME"/>
                    </w:rPr>
                    <w:t>3.2 Uzoračka greška</w:t>
                  </w:r>
                  <w:bookmarkEnd w:id="22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2802F488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B16880" w14:textId="08CE6F32" w:rsidR="008923F6" w:rsidRPr="008923F6" w:rsidRDefault="00F14AC9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4D573B" w:rsidRPr="008923F6" w14:paraId="5E48B74B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8BB918" w14:textId="77777777" w:rsidR="004D573B" w:rsidRPr="008923F6" w:rsidRDefault="004D573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39895F6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B99B59" w14:textId="7777777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23" w:name="_Toc509304749"/>
                  <w:r w:rsidRPr="008923F6">
                    <w:rPr>
                      <w:lang w:val="sr-Latn-ME"/>
                    </w:rPr>
                    <w:t>3.3 Neuzoračka greška</w:t>
                  </w:r>
                  <w:bookmarkEnd w:id="23"/>
                </w:p>
              </w:tc>
            </w:tr>
            <w:tr w:rsidR="008923F6" w:rsidRPr="008923F6" w14:paraId="1EE180C8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1DC37D" w14:textId="349AE17E" w:rsidR="008923F6" w:rsidRPr="008923F6" w:rsidRDefault="00F14A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0D62A7" w:rsidRPr="008923F6" w14:paraId="409377AC" w14:textId="77777777" w:rsidTr="004D573B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321BE70" w14:textId="77777777" w:rsidR="000D62A7" w:rsidRPr="008923F6" w:rsidRDefault="000D62A7" w:rsidP="00815B63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0D62A7" w:rsidRPr="008923F6" w14:paraId="0CDB212B" w14:textId="77777777" w:rsidTr="004D573B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16417C" w14:textId="49B6D53F" w:rsidR="000D62A7" w:rsidRPr="008923F6" w:rsidRDefault="000D62A7" w:rsidP="00815B63">
                  <w:pPr>
                    <w:pStyle w:val="Heading3"/>
                    <w:rPr>
                      <w:lang w:val="sr-Latn-ME"/>
                    </w:rPr>
                  </w:pPr>
                  <w:bookmarkStart w:id="24" w:name="_Toc509304750"/>
                  <w:r w:rsidRPr="008923F6">
                    <w:rPr>
                      <w:lang w:val="sr-Latn-ME"/>
                    </w:rPr>
                    <w:t>3.3.1 Greška obuhvata</w:t>
                  </w:r>
                  <w:bookmarkEnd w:id="24"/>
                </w:p>
              </w:tc>
            </w:tr>
            <w:tr w:rsidR="000D62A7" w:rsidRPr="008923F6" w14:paraId="507FC89E" w14:textId="77777777" w:rsidTr="004D573B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943068" w14:textId="56220287" w:rsidR="00D5264C" w:rsidRPr="00D5264C" w:rsidRDefault="000D62A7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11F20D" w14:textId="77777777" w:rsidR="000D62A7" w:rsidRPr="008923F6" w:rsidRDefault="000D62A7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4D573B" w:rsidRPr="008923F6" w14:paraId="38992107" w14:textId="77777777" w:rsidTr="004D573B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C61825" w14:textId="77777777" w:rsidR="004D573B" w:rsidRPr="008923F6" w:rsidRDefault="004D573B" w:rsidP="00815B63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4D573B" w:rsidRPr="008923F6" w14:paraId="1B2360F1" w14:textId="77777777" w:rsidTr="004D573B">
              <w:trPr>
                <w:trHeight w:val="183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94DE5C" w14:textId="6494E42E" w:rsidR="004D573B" w:rsidRPr="008923F6" w:rsidRDefault="004D573B" w:rsidP="004D573B">
                  <w:pPr>
                    <w:pStyle w:val="Heading4"/>
                    <w:rPr>
                      <w:lang w:val="sr-Latn-ME"/>
                    </w:rPr>
                  </w:pPr>
                  <w:bookmarkStart w:id="25" w:name="_Toc509304751"/>
                  <w:r w:rsidRPr="000D62A7">
                    <w:rPr>
                      <w:lang w:val="sr-Latn-ME"/>
                    </w:rPr>
                    <w:t>Indikator greške obuhvata</w:t>
                  </w:r>
                  <w:bookmarkEnd w:id="25"/>
                  <w:r w:rsidRPr="000D62A7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4D573B" w:rsidRPr="008923F6" w14:paraId="48873EEE" w14:textId="77777777" w:rsidTr="004D573B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4AB825" w14:textId="60E5468C" w:rsidR="004D573B" w:rsidRPr="004D573B" w:rsidRDefault="004D573B" w:rsidP="004D573B">
                  <w:pPr>
                    <w:spacing w:after="0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4D573B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4D573B" w:rsidRPr="008923F6" w14:paraId="3B06EC00" w14:textId="77777777" w:rsidTr="004D573B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8601FD" w14:textId="77777777" w:rsidR="004D573B" w:rsidRPr="008923F6" w:rsidRDefault="004D573B" w:rsidP="00815B63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0D62A7" w:rsidRPr="008923F6" w14:paraId="62F4DA0E" w14:textId="77777777" w:rsidTr="004D573B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F9D889" w14:textId="06B197DF" w:rsidR="000D62A7" w:rsidRPr="008923F6" w:rsidRDefault="000D62A7" w:rsidP="00815B63">
                  <w:pPr>
                    <w:pStyle w:val="Heading3"/>
                    <w:rPr>
                      <w:lang w:val="sr-Latn-ME"/>
                    </w:rPr>
                  </w:pPr>
                  <w:bookmarkStart w:id="26" w:name="_Toc509304752"/>
                  <w:r w:rsidRPr="008923F6">
                    <w:rPr>
                      <w:lang w:val="sr-Latn-ME"/>
                    </w:rPr>
                    <w:t>3.3.2 Greška mjerenja</w:t>
                  </w:r>
                  <w:bookmarkEnd w:id="26"/>
                </w:p>
              </w:tc>
            </w:tr>
            <w:tr w:rsidR="000D62A7" w:rsidRPr="008923F6" w14:paraId="4E553CDD" w14:textId="77777777" w:rsidTr="004D573B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5E4691" w14:textId="6DCE0EDC" w:rsidR="000D62A7" w:rsidRPr="008923F6" w:rsidRDefault="000D62A7" w:rsidP="004D573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C60FB4" w14:textId="77777777" w:rsidR="000D62A7" w:rsidRPr="008923F6" w:rsidRDefault="000D62A7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4D573B" w:rsidRPr="008923F6" w14:paraId="69FD9B7B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ACC48F" w14:textId="77777777" w:rsidR="004D573B" w:rsidRPr="008923F6" w:rsidRDefault="004D573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4D573B" w:rsidRPr="008923F6" w14:paraId="606D3F76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A5D82BC" w14:textId="3D14BA17" w:rsidR="004D573B" w:rsidRPr="008923F6" w:rsidRDefault="004D573B" w:rsidP="004D573B">
                  <w:pPr>
                    <w:pStyle w:val="Heading3"/>
                    <w:rPr>
                      <w:lang w:val="sr-Latn-ME"/>
                    </w:rPr>
                  </w:pPr>
                  <w:bookmarkStart w:id="27" w:name="_Toc509304753"/>
                  <w:r>
                    <w:rPr>
                      <w:lang w:val="sr-Latn-ME"/>
                    </w:rPr>
                    <w:t>3.3.3 Greška usljed neodaziva</w:t>
                  </w:r>
                  <w:bookmarkEnd w:id="27"/>
                </w:p>
              </w:tc>
            </w:tr>
            <w:tr w:rsidR="004D573B" w:rsidRPr="008923F6" w14:paraId="4CCBAF66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8C2DF3" w14:textId="16203C6E" w:rsidR="004D573B" w:rsidRPr="008923F6" w:rsidRDefault="004D573B" w:rsidP="004D573B">
                  <w:pPr>
                    <w:spacing w:after="0"/>
                    <w:jc w:val="both"/>
                    <w:rPr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4D573B" w:rsidRPr="008923F6" w14:paraId="5C990656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B857A0" w14:textId="77777777" w:rsidR="004D573B" w:rsidRDefault="004D573B" w:rsidP="004D573B">
                  <w:pPr>
                    <w:spacing w:after="0"/>
                    <w:rPr>
                      <w:lang w:val="sr-Latn-ME"/>
                    </w:rPr>
                  </w:pPr>
                </w:p>
                <w:p w14:paraId="5A28718D" w14:textId="77777777" w:rsidR="004D573B" w:rsidRPr="004D573B" w:rsidRDefault="004D573B" w:rsidP="004D573B">
                  <w:pPr>
                    <w:spacing w:after="0"/>
                    <w:rPr>
                      <w:lang w:val="sr-Latn-ME"/>
                    </w:rPr>
                  </w:pPr>
                </w:p>
              </w:tc>
            </w:tr>
            <w:tr w:rsidR="004D573B" w:rsidRPr="008923F6" w14:paraId="364DD83A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42AF5A" w14:textId="53C09368" w:rsidR="004D573B" w:rsidRPr="008923F6" w:rsidRDefault="004D573B" w:rsidP="004D573B">
                  <w:pPr>
                    <w:pStyle w:val="Heading4"/>
                    <w:rPr>
                      <w:lang w:val="sr-Latn-ME"/>
                    </w:rPr>
                  </w:pPr>
                  <w:bookmarkStart w:id="28" w:name="_Toc509304754"/>
                  <w:r w:rsidRPr="000D62A7">
                    <w:rPr>
                      <w:lang w:val="sr-Latn-ME"/>
                    </w:rPr>
                    <w:lastRenderedPageBreak/>
                    <w:t>Stopa neodaziva jedinica</w:t>
                  </w:r>
                  <w:bookmarkEnd w:id="28"/>
                  <w:r w:rsidRPr="000D62A7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4D573B" w:rsidRPr="008923F6" w14:paraId="671881B2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6CFC50" w14:textId="5047CE9C" w:rsidR="004D573B" w:rsidRPr="004D573B" w:rsidRDefault="004D573B" w:rsidP="004D573B">
                  <w:pPr>
                    <w:spacing w:before="80" w:after="0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4D573B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4D573B" w:rsidRPr="008923F6" w14:paraId="6F8401B2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802123" w14:textId="77777777" w:rsidR="004D573B" w:rsidRPr="008A77A0" w:rsidRDefault="004D573B" w:rsidP="00815B63">
                  <w:pPr>
                    <w:pStyle w:val="Heading2"/>
                    <w:rPr>
                      <w:rFonts w:cs="Times New Roman"/>
                      <w:lang w:val="sr-Latn-ME"/>
                    </w:rPr>
                  </w:pPr>
                </w:p>
              </w:tc>
            </w:tr>
            <w:tr w:rsidR="008923F6" w:rsidRPr="008923F6" w14:paraId="05B15CE2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7AAFA7" w14:textId="423AAC2B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29" w:name="_Toc509304755"/>
                  <w:r w:rsidRPr="008923F6">
                    <w:rPr>
                      <w:lang w:val="sr-Latn-ME"/>
                    </w:rPr>
                    <w:t>3.4 Sezonska prilagođavanja</w:t>
                  </w:r>
                  <w:bookmarkEnd w:id="29"/>
                </w:p>
              </w:tc>
            </w:tr>
            <w:tr w:rsidR="008923F6" w:rsidRPr="008923F6" w14:paraId="3B2EE6C8" w14:textId="77777777" w:rsidTr="008923F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44FAF6" w14:textId="069D2840" w:rsidR="008923F6" w:rsidRPr="008923F6" w:rsidRDefault="00F14A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5C4CF6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016FE7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4D573B" w:rsidRPr="008923F6" w14:paraId="32261F84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C524EA" w14:textId="77777777" w:rsidR="004D573B" w:rsidRPr="008923F6" w:rsidRDefault="004D573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04E28C2D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5855DC" w14:textId="147C6473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30" w:name="_Toc509304756"/>
                  <w:r w:rsidRPr="008923F6">
                    <w:rPr>
                      <w:lang w:val="sr-Latn-ME"/>
                    </w:rPr>
                    <w:t>3.5 Revizija podataka</w:t>
                  </w:r>
                  <w:bookmarkEnd w:id="30"/>
                </w:p>
              </w:tc>
            </w:tr>
            <w:tr w:rsidR="004D573B" w:rsidRPr="008923F6" w14:paraId="451EC049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A61273" w14:textId="77777777" w:rsidR="004D573B" w:rsidRPr="008923F6" w:rsidRDefault="004D573B" w:rsidP="00815B63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8923F6" w:rsidRPr="008923F6" w14:paraId="60A2D949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28571E" w14:textId="4856BB26" w:rsidR="008923F6" w:rsidRPr="008923F6" w:rsidRDefault="008923F6" w:rsidP="00815B63">
                  <w:pPr>
                    <w:pStyle w:val="Heading3"/>
                    <w:rPr>
                      <w:lang w:val="sr-Latn-ME"/>
                    </w:rPr>
                  </w:pPr>
                  <w:bookmarkStart w:id="31" w:name="_Toc509304757"/>
                  <w:r w:rsidRPr="008923F6">
                    <w:rPr>
                      <w:lang w:val="sr-Latn-ME"/>
                    </w:rPr>
                    <w:t>3.5.1 Politika revizije podataka</w:t>
                  </w:r>
                  <w:bookmarkEnd w:id="31"/>
                </w:p>
              </w:tc>
            </w:tr>
            <w:tr w:rsidR="008923F6" w:rsidRPr="008923F6" w14:paraId="7FA388DD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76B8FC" w14:textId="15C06081" w:rsidR="008923F6" w:rsidRPr="008923F6" w:rsidRDefault="008923F6" w:rsidP="004D573B">
                  <w:pPr>
                    <w:spacing w:before="80" w:after="0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 xml:space="preserve">Zavod za statistiku je usvojio politiku revizije </w:t>
                  </w:r>
                  <w:r w:rsidR="00CA0791">
                    <w:rPr>
                      <w:rFonts w:ascii="Times New Roman" w:hAnsi="Times New Roman" w:cs="Times New Roman"/>
                      <w:lang w:val="sr-Latn-ME"/>
                    </w:rPr>
                    <w:t xml:space="preserve">i ista je dostupna na web sajtu: </w:t>
                  </w:r>
                  <w:hyperlink r:id="rId11" w:history="1">
                    <w:r w:rsidR="00D80A8F" w:rsidRPr="000D387C">
                      <w:rPr>
                        <w:rStyle w:val="Hyperlink"/>
                        <w:rFonts w:ascii="Times New Roman" w:hAnsi="Times New Roman" w:cs="Times New Roman"/>
                        <w:lang w:val="sr-Latn-ME"/>
                      </w:rPr>
                      <w:t>http://www.monstat.org/cg/page.php?id=1493&amp;pageid=1493</w:t>
                    </w:r>
                  </w:hyperlink>
                  <w:r w:rsidR="00D80A8F">
                    <w:rPr>
                      <w:rFonts w:ascii="Times New Roman" w:hAnsi="Times New Roman" w:cs="Times New Roman"/>
                      <w:lang w:val="sr-Latn-ME"/>
                    </w:rPr>
                    <w:t xml:space="preserve"> </w:t>
                  </w:r>
                </w:p>
              </w:tc>
            </w:tr>
            <w:tr w:rsidR="00CB104B" w:rsidRPr="008923F6" w14:paraId="0113C4D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D36699" w14:textId="77777777" w:rsidR="00CB104B" w:rsidRPr="008923F6" w:rsidRDefault="00CB104B" w:rsidP="00815B63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8923F6" w:rsidRPr="008923F6" w14:paraId="3E365A54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C68703" w14:textId="3C33DB84" w:rsidR="008923F6" w:rsidRPr="008923F6" w:rsidRDefault="008923F6" w:rsidP="00815B63">
                  <w:pPr>
                    <w:pStyle w:val="Heading3"/>
                    <w:rPr>
                      <w:lang w:val="sr-Latn-ME"/>
                    </w:rPr>
                  </w:pPr>
                  <w:bookmarkStart w:id="32" w:name="_Toc509304758"/>
                  <w:r w:rsidRPr="008923F6">
                    <w:rPr>
                      <w:lang w:val="sr-Latn-ME"/>
                    </w:rPr>
                    <w:t>3.5.2 Praksa revizije podataka</w:t>
                  </w:r>
                  <w:bookmarkEnd w:id="32"/>
                </w:p>
              </w:tc>
            </w:tr>
            <w:tr w:rsidR="008923F6" w:rsidRPr="008923F6" w14:paraId="56C9893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3412FF" w14:textId="380B0A9D" w:rsidR="008923F6" w:rsidRPr="008923F6" w:rsidRDefault="00F04153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04153">
                    <w:rPr>
                      <w:rFonts w:ascii="Times New Roman" w:hAnsi="Times New Roman" w:cs="Times New Roman"/>
                      <w:lang w:val="sr-Latn-ME"/>
                    </w:rPr>
                    <w:t>Tipi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F04153">
                    <w:rPr>
                      <w:rFonts w:ascii="Times New Roman" w:hAnsi="Times New Roman" w:cs="Times New Roman"/>
                      <w:lang w:val="sr-Latn-ME"/>
                    </w:rPr>
                    <w:t>ne revizije su minimalne. Značajne revizije se koriste samo ukoliko dođe do metodoloških promjena.</w:t>
                  </w:r>
                </w:p>
              </w:tc>
            </w:tr>
            <w:tr w:rsidR="00CB104B" w:rsidRPr="008923F6" w14:paraId="42E94738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7AD279" w14:textId="77777777" w:rsidR="00CB104B" w:rsidRPr="008923F6" w:rsidRDefault="00CB104B" w:rsidP="00815B63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8923F6" w:rsidRPr="008923F6" w14:paraId="60EDC5CF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A2E9BE" w14:textId="7A0679E6" w:rsidR="008923F6" w:rsidRPr="008923F6" w:rsidRDefault="008923F6" w:rsidP="004D573B">
                  <w:pPr>
                    <w:pStyle w:val="Heading3"/>
                    <w:rPr>
                      <w:lang w:val="sr-Latn-ME"/>
                    </w:rPr>
                  </w:pPr>
                  <w:bookmarkStart w:id="33" w:name="_Toc509304759"/>
                  <w:r w:rsidRPr="008923F6">
                    <w:rPr>
                      <w:lang w:val="sr-Latn-ME"/>
                    </w:rPr>
                    <w:t>3.5.3 Prosječna veličina revizije podataka</w:t>
                  </w:r>
                  <w:bookmarkEnd w:id="33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57C39AA2" w14:textId="77777777" w:rsidTr="008923F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CA8159" w14:textId="69DBAC9F" w:rsidR="008923F6" w:rsidRPr="008923F6" w:rsidRDefault="00F04153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04153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D1036F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7D7378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4D573B" w:rsidRPr="004D573B" w14:paraId="1FF2CBFC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88BE21" w14:textId="77777777" w:rsidR="004D573B" w:rsidRPr="004D573B" w:rsidRDefault="004D573B" w:rsidP="00815B63">
                  <w:pPr>
                    <w:pStyle w:val="Heading1"/>
                    <w:rPr>
                      <w:sz w:val="32"/>
                      <w:lang w:val="sr-Latn-ME"/>
                    </w:rPr>
                  </w:pPr>
                </w:p>
              </w:tc>
            </w:tr>
            <w:tr w:rsidR="008923F6" w:rsidRPr="008923F6" w14:paraId="341F65A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10231B" w14:textId="4E846597" w:rsidR="008923F6" w:rsidRPr="008923F6" w:rsidRDefault="008923F6" w:rsidP="00815B63">
                  <w:pPr>
                    <w:pStyle w:val="Heading1"/>
                    <w:rPr>
                      <w:lang w:val="sr-Latn-ME"/>
                    </w:rPr>
                  </w:pPr>
                  <w:bookmarkStart w:id="34" w:name="_Toc509304760"/>
                  <w:r w:rsidRPr="008923F6">
                    <w:rPr>
                      <w:lang w:val="sr-Latn-ME"/>
                    </w:rPr>
                    <w:t>4. Pravovremenost i tačnost objave podataka</w:t>
                  </w:r>
                  <w:bookmarkEnd w:id="34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4D573B" w:rsidRPr="008923F6" w14:paraId="262F8392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A5484EE" w14:textId="77777777" w:rsidR="004D573B" w:rsidRPr="008923F6" w:rsidRDefault="004D573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7C49FE" w14:textId="77777777" w:rsidR="004D573B" w:rsidRPr="008923F6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7D310602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8B7CE7" w14:textId="6A2223A9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35" w:name="_Toc509304761"/>
                  <w:r w:rsidRPr="008923F6">
                    <w:rPr>
                      <w:lang w:val="sr-Latn-ME"/>
                    </w:rPr>
                    <w:t>4.1 Pravovremenost</w:t>
                  </w:r>
                  <w:bookmarkEnd w:id="35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437D77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5F4A0D6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C07B61" w14:textId="0177F30C" w:rsidR="008923F6" w:rsidRPr="008923F6" w:rsidRDefault="00AB62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Podaci se publikuju 11 mjeseci nakon završenog referentnog perioda.</w:t>
                  </w:r>
                </w:p>
              </w:tc>
            </w:tr>
            <w:tr w:rsidR="0055100B" w:rsidRPr="008923F6" w14:paraId="053681A1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5F185D" w14:textId="77777777" w:rsidR="0055100B" w:rsidRPr="008923F6" w:rsidRDefault="0055100B" w:rsidP="00815B63">
                  <w:pPr>
                    <w:pStyle w:val="Heading4"/>
                    <w:rPr>
                      <w:lang w:val="sr-Latn-ME"/>
                    </w:rPr>
                  </w:pPr>
                </w:p>
              </w:tc>
            </w:tr>
            <w:tr w:rsidR="008923F6" w:rsidRPr="008923F6" w14:paraId="0233DD5C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F222F5" w14:textId="3D98430F" w:rsidR="008923F6" w:rsidRPr="008923F6" w:rsidRDefault="008923F6" w:rsidP="00815B63">
                  <w:pPr>
                    <w:pStyle w:val="Heading4"/>
                    <w:rPr>
                      <w:lang w:val="sr-Latn-ME"/>
                    </w:rPr>
                  </w:pPr>
                  <w:bookmarkStart w:id="36" w:name="_Toc509304762"/>
                  <w:r w:rsidRPr="008923F6">
                    <w:rPr>
                      <w:lang w:val="sr-Latn-ME"/>
                    </w:rPr>
                    <w:t>Vremenski jaz objave preliminarnih podataka</w:t>
                  </w:r>
                  <w:bookmarkEnd w:id="36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FA7891" w:rsidRPr="008923F6" w14:paraId="4BFB585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D0528A" w14:textId="212D5CBA" w:rsidR="00FA7891" w:rsidRPr="00C0733E" w:rsidRDefault="00C0733E" w:rsidP="004D573B">
                  <w:pPr>
                    <w:spacing w:before="80" w:after="0"/>
                    <w:jc w:val="both"/>
                    <w:rPr>
                      <w:i/>
                      <w:lang w:val="sr-Latn-ME"/>
                    </w:rPr>
                  </w:pPr>
                  <w:r w:rsidRPr="004D573B">
                    <w:rPr>
                      <w:rFonts w:ascii="Times New Roman" w:hAnsi="Times New Roman" w:cs="Times New Roman"/>
                      <w:lang w:val="sr-Latn-ME"/>
                    </w:rPr>
                    <w:t>Indikator pravovremenosti objave preliminarnih podataka predstavlja vrijeme između datuma poslednjeg dana referentnog perioda i datuma objave prvih podataka. On se može prikazati formulom: T1 = dfrst - dref, T1 = 35dana, dfrst - datum izlaska prvih rezultata; dref - poslednji dan (datum) referentnog perioda. Rokovi za objavljivanje podataka bilansa drvnih goriva u toku 2016. godine su ispunjeni u skladu sa kalendarom objavljivanja.</w:t>
                  </w:r>
                </w:p>
              </w:tc>
            </w:tr>
            <w:tr w:rsidR="0055100B" w:rsidRPr="008923F6" w14:paraId="1ABEDC65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EABF6E" w14:textId="77777777" w:rsidR="0055100B" w:rsidRPr="008923F6" w:rsidRDefault="0055100B" w:rsidP="00815B63">
                  <w:pPr>
                    <w:pStyle w:val="Heading4"/>
                    <w:rPr>
                      <w:lang w:val="sr-Latn-ME"/>
                    </w:rPr>
                  </w:pPr>
                </w:p>
              </w:tc>
            </w:tr>
            <w:tr w:rsidR="008923F6" w:rsidRPr="008923F6" w14:paraId="318EFAEC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094453" w14:textId="0536EF56" w:rsidR="008923F6" w:rsidRPr="008923F6" w:rsidRDefault="008923F6" w:rsidP="00815B63">
                  <w:pPr>
                    <w:pStyle w:val="Heading4"/>
                    <w:rPr>
                      <w:lang w:val="sr-Latn-ME"/>
                    </w:rPr>
                  </w:pPr>
                  <w:bookmarkStart w:id="37" w:name="_Toc509304763"/>
                  <w:r w:rsidRPr="008923F6">
                    <w:rPr>
                      <w:lang w:val="sr-Latn-ME"/>
                    </w:rPr>
                    <w:t>Vremenski jaz objave konačnih podataka</w:t>
                  </w:r>
                  <w:bookmarkEnd w:id="37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3D87C940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3CF03F" w14:textId="2A77D6F0" w:rsidR="008923F6" w:rsidRPr="008923F6" w:rsidRDefault="00AB62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Indikator pravovremenosti objave konačnih podataka predstavlja vrijeme izmeđju datuma poslednjeg dana referentnog perioda i datuma objave konačnih podataka. Podaci ovog istraživanja se objavljuju 11 mjeseci nakon završetka referentnog perioda u skladu sa Kalendarom objavljivanja podataka.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D989CA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5100B" w:rsidRPr="008923F6" w14:paraId="2050043A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688F59" w14:textId="77777777" w:rsidR="0055100B" w:rsidRPr="008923F6" w:rsidRDefault="0055100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4986E9FD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405EF0" w14:textId="50BC2213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38" w:name="_Toc509304764"/>
                  <w:r w:rsidRPr="008923F6">
                    <w:rPr>
                      <w:lang w:val="sr-Latn-ME"/>
                    </w:rPr>
                    <w:t>4.2 Tačnost objave podataka</w:t>
                  </w:r>
                  <w:bookmarkEnd w:id="38"/>
                </w:p>
              </w:tc>
            </w:tr>
            <w:tr w:rsidR="008923F6" w:rsidRPr="008923F6" w14:paraId="3289B365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CB6FB7" w14:textId="31A371E0" w:rsidR="008923F6" w:rsidRPr="008923F6" w:rsidRDefault="00AB62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Svi rokovi za objavljivanje su ispoštovani u skladu sa Kalendarom objavljivanja podataka.</w:t>
                  </w:r>
                </w:p>
              </w:tc>
            </w:tr>
            <w:tr w:rsidR="008923F6" w:rsidRPr="008923F6" w14:paraId="04F850C5" w14:textId="77777777" w:rsidTr="00FA789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B40374" w14:textId="3BEAD921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F56A34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49D9205F" w14:textId="77777777" w:rsidTr="008923F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739E8" w14:textId="77777777" w:rsid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66D51FCB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19319686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1E685C1D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24A27850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07EE5C40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5E55A5CA" w14:textId="77777777" w:rsidR="004D573B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453F3D0E" w14:textId="77777777" w:rsidR="004D573B" w:rsidRPr="008923F6" w:rsidRDefault="004D573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16115D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A4D701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326D729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BBC2A4" w14:textId="0587386C" w:rsidR="008923F6" w:rsidRPr="008923F6" w:rsidRDefault="008923F6" w:rsidP="00815B63">
                  <w:pPr>
                    <w:pStyle w:val="Heading1"/>
                    <w:rPr>
                      <w:lang w:val="sr-Latn-ME"/>
                    </w:rPr>
                  </w:pPr>
                  <w:bookmarkStart w:id="39" w:name="_Toc509304765"/>
                  <w:r w:rsidRPr="008923F6">
                    <w:rPr>
                      <w:lang w:val="sr-Latn-ME"/>
                    </w:rPr>
                    <w:lastRenderedPageBreak/>
                    <w:t>5. Dostupnost i jasnoća</w:t>
                  </w:r>
                  <w:bookmarkEnd w:id="39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27035E" w:rsidRPr="008923F6" w14:paraId="3D4A87F4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250C86" w14:textId="77777777" w:rsidR="0027035E" w:rsidRPr="008923F6" w:rsidRDefault="0027035E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5E21FC" w14:textId="77777777" w:rsidR="0027035E" w:rsidRPr="008923F6" w:rsidRDefault="0027035E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603C5CB0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19019C" w14:textId="33BA67E2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40" w:name="_Toc509304766"/>
                  <w:r w:rsidRPr="008923F6">
                    <w:rPr>
                      <w:lang w:val="sr-Latn-ME"/>
                    </w:rPr>
                    <w:t>5.1 Saopštenja</w:t>
                  </w:r>
                  <w:bookmarkEnd w:id="40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5F7C9C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1160F03D" w14:textId="77777777" w:rsidTr="00FA7891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BCBB0F" w14:textId="027D1D61" w:rsidR="008923F6" w:rsidRPr="008923F6" w:rsidRDefault="00D353D8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D353D8">
                    <w:rPr>
                      <w:rFonts w:ascii="Times New Roman" w:hAnsi="Times New Roman" w:cs="Times New Roman"/>
                      <w:lang w:val="sr-Latn-ME"/>
                    </w:rPr>
                    <w:t xml:space="preserve">Podaci su dostupni na sajtu: </w:t>
                  </w:r>
                  <w:hyperlink r:id="rId12" w:history="1">
                    <w:r w:rsidR="004D573B" w:rsidRPr="002D4AE0">
                      <w:rPr>
                        <w:rStyle w:val="Hyperlink"/>
                        <w:rFonts w:ascii="Times New Roman" w:hAnsi="Times New Roman" w:cs="Times New Roman"/>
                        <w:lang w:val="sr-Latn-ME"/>
                      </w:rPr>
                      <w:t>http://monstat.org/cg/page.php?id=548&amp;pageid=548</w:t>
                    </w:r>
                  </w:hyperlink>
                  <w:r w:rsidR="004D573B">
                    <w:rPr>
                      <w:rFonts w:ascii="Times New Roman" w:hAnsi="Times New Roman" w:cs="Times New Roman"/>
                      <w:lang w:val="sr-Latn-ME"/>
                    </w:rPr>
                    <w:t xml:space="preserve"> </w:t>
                  </w:r>
                </w:p>
              </w:tc>
            </w:tr>
            <w:tr w:rsidR="0055100B" w:rsidRPr="008923F6" w14:paraId="3D461FF9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28FEF6" w14:textId="77777777" w:rsidR="0055100B" w:rsidRPr="008923F6" w:rsidRDefault="0055100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C9F197" w14:textId="77777777" w:rsidR="0055100B" w:rsidRPr="008923F6" w:rsidRDefault="0055100B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5D9A3F6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D1A11" w14:textId="08412CA7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41" w:name="_Toc509304767"/>
                  <w:r w:rsidRPr="008923F6">
                    <w:rPr>
                      <w:lang w:val="sr-Latn-ME"/>
                    </w:rPr>
                    <w:t>5.2 Publikacije</w:t>
                  </w:r>
                  <w:bookmarkEnd w:id="41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0DEA12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5A5BF46A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281BF5" w14:textId="77777777" w:rsidR="004D573B" w:rsidRPr="006C361A" w:rsidRDefault="004D573B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Zavod za statistiku objavljuje sljedeće redovne publikacije:   </w:t>
                  </w:r>
                </w:p>
                <w:p w14:paraId="12C5810A" w14:textId="77777777" w:rsidR="004D573B" w:rsidRPr="006C361A" w:rsidRDefault="004D573B" w:rsidP="004D573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Mjesečni statistički pregled   </w:t>
                  </w:r>
                </w:p>
                <w:p w14:paraId="3DF41A00" w14:textId="77777777" w:rsidR="004D573B" w:rsidRPr="006C361A" w:rsidRDefault="004D573B" w:rsidP="004D573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Statistički Godišnjak  </w:t>
                  </w:r>
                </w:p>
                <w:p w14:paraId="589642C6" w14:textId="77777777" w:rsidR="004D573B" w:rsidRPr="006C361A" w:rsidRDefault="004D573B" w:rsidP="004D573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Crna Gora u brojkama </w:t>
                  </w:r>
                </w:p>
                <w:p w14:paraId="178C786E" w14:textId="77777777" w:rsidR="004D573B" w:rsidRPr="006C361A" w:rsidRDefault="004D573B" w:rsidP="004D573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Godišnja statistika saobraćaja, skladištenja i veza </w:t>
                  </w:r>
                </w:p>
                <w:p w14:paraId="02F4C6EB" w14:textId="77777777" w:rsidR="004D573B" w:rsidRPr="006C361A" w:rsidRDefault="004D573B" w:rsidP="004D573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Broj i struktura poslovnih subjekata  </w:t>
                  </w:r>
                </w:p>
                <w:p w14:paraId="037FC645" w14:textId="77777777" w:rsidR="004D573B" w:rsidRPr="006C361A" w:rsidRDefault="004D573B" w:rsidP="004D573B">
                  <w:pPr>
                    <w:spacing w:before="40" w:after="6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Pored navedenih redovnih, Zavod za statistiku objavljuje i vanredne publikacije. Neke od najznačanijih vanrednih publikacija su sledeće:  </w:t>
                  </w:r>
                </w:p>
                <w:p w14:paraId="57E5EE94" w14:textId="77777777" w:rsidR="004D573B" w:rsidRPr="006C361A" w:rsidRDefault="004D573B" w:rsidP="004D573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Žene i muškarci u Crnoj Gori  </w:t>
                  </w:r>
                </w:p>
                <w:p w14:paraId="2AFE865D" w14:textId="77777777" w:rsidR="004D573B" w:rsidRPr="006C361A" w:rsidRDefault="004D573B" w:rsidP="004D573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Djeca u Crnoj Gori  </w:t>
                  </w:r>
                </w:p>
                <w:p w14:paraId="017569D7" w14:textId="77777777" w:rsidR="004D573B" w:rsidRPr="006C361A" w:rsidRDefault="004D573B" w:rsidP="004D573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Najčešce korišćeni statistički podaci </w:t>
                  </w:r>
                </w:p>
                <w:p w14:paraId="106A1E99" w14:textId="77777777" w:rsidR="004D573B" w:rsidRPr="006C361A" w:rsidRDefault="004D573B" w:rsidP="004D573B">
                  <w:pPr>
                    <w:spacing w:before="60" w:after="0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>Sve publikacije koje objavljuje Zavod za statistiku dostupne su na sledećem linku:</w:t>
                  </w:r>
                </w:p>
                <w:p w14:paraId="2973CBBE" w14:textId="52247D9E" w:rsidR="008923F6" w:rsidRPr="008923F6" w:rsidRDefault="004D573B" w:rsidP="004D573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 </w:t>
                  </w:r>
                  <w:hyperlink r:id="rId13" w:history="1">
                    <w:r w:rsidRPr="006C361A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  <w:lang w:val="sr-Latn-CS"/>
                      </w:rPr>
                      <w:t>http://monstat.org/cg/publikacije.php</w:t>
                    </w:r>
                  </w:hyperlink>
                </w:p>
              </w:tc>
            </w:tr>
            <w:tr w:rsidR="0055100B" w:rsidRPr="008923F6" w14:paraId="25CD418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26A679" w14:textId="77777777" w:rsidR="0055100B" w:rsidRPr="008923F6" w:rsidRDefault="0055100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1C192D5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BC6FC9" w14:textId="234ADD41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42" w:name="_Toc509304768"/>
                  <w:r w:rsidRPr="008923F6">
                    <w:rPr>
                      <w:lang w:val="sr-Latn-ME"/>
                    </w:rPr>
                    <w:t>5.3 Dostupnost mikropodataka</w:t>
                  </w:r>
                  <w:bookmarkEnd w:id="42"/>
                </w:p>
              </w:tc>
            </w:tr>
            <w:tr w:rsidR="008923F6" w:rsidRPr="008923F6" w14:paraId="25E42F1C" w14:textId="77777777" w:rsidTr="004D573B">
              <w:trPr>
                <w:trHeight w:val="2016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E1D3C" w14:textId="7A3BCA9A" w:rsidR="008923F6" w:rsidRPr="008923F6" w:rsidRDefault="00E513D3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Zakonom o zvani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noj statistici i sistemu zvani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 xml:space="preserve">ne statistike ("Sl.list Crne Gore" br. 18/12) regulisana su pravila pod kojim spoljni korisnici mogu dobiti pristup individualnim podacima za potrebe istraživanja. 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lanom 58 definisane su vrste nau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nih i 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kih organizacija koje mogu dobiti takve podatke. Davanje individualnih podatka bez identifikatora mogu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ć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e je isklju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ivo na pisani zahtjev nau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no-istraživa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kih ustanova, u svrhu obavljanja nau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no-istraživa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ke djelatnosti, kao i me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unarodnih statisti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kih organizacija i proizvo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a statistike iz drugih država. 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 subjekt potpisuje Ugovor sa Zavodom za statistiku, kao i Izjavu o poštovanju principa povjerljivosti.  Proizvo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 zvani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ne statistike vode posebnu evidenciju o korisnicima i o svrsi za koju su statisti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 podaci dati na koriš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ć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enje.</w:t>
                  </w:r>
                </w:p>
              </w:tc>
            </w:tr>
            <w:tr w:rsidR="008923F6" w:rsidRPr="008923F6" w14:paraId="033CB1DF" w14:textId="77777777" w:rsidTr="008923F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F0145F" w14:textId="77777777" w:rsidR="00D80A8F" w:rsidRPr="008923F6" w:rsidRDefault="00D80A8F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4A5A20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7060C1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0C85009D" w14:textId="77777777" w:rsidTr="008923F6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805EC0" w14:textId="5D8EA65D" w:rsidR="008923F6" w:rsidRPr="008923F6" w:rsidRDefault="008923F6" w:rsidP="00815B63">
                  <w:pPr>
                    <w:pStyle w:val="Heading1"/>
                    <w:rPr>
                      <w:lang w:val="sr-Latn-ME"/>
                    </w:rPr>
                  </w:pPr>
                  <w:bookmarkStart w:id="43" w:name="_Toc509304769"/>
                  <w:r w:rsidRPr="008923F6">
                    <w:rPr>
                      <w:lang w:val="sr-Latn-ME"/>
                    </w:rPr>
                    <w:t>6. Uporedivost</w:t>
                  </w:r>
                  <w:bookmarkEnd w:id="43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BFC212" w14:textId="77777777" w:rsidR="008923F6" w:rsidRPr="008923F6" w:rsidRDefault="008923F6" w:rsidP="00815B6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4D573B" w:rsidRPr="008923F6" w14:paraId="7F6C2B9F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7AC88B" w14:textId="77777777" w:rsidR="004D573B" w:rsidRPr="008923F6" w:rsidRDefault="004D573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5C2D5274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7532DE" w14:textId="351CB4F8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44" w:name="_Toc509304770"/>
                  <w:r w:rsidRPr="008923F6">
                    <w:rPr>
                      <w:lang w:val="sr-Latn-ME"/>
                    </w:rPr>
                    <w:t>6.1 Prostorna uporedivost</w:t>
                  </w:r>
                  <w:bookmarkEnd w:id="44"/>
                </w:p>
              </w:tc>
            </w:tr>
            <w:tr w:rsidR="008923F6" w:rsidRPr="008923F6" w14:paraId="74BEC379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C103E2" w14:textId="697CCEB2" w:rsidR="008923F6" w:rsidRPr="008923F6" w:rsidRDefault="00AB62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55100B" w:rsidRPr="008923F6" w14:paraId="0816565E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42E9F6" w14:textId="77777777" w:rsidR="0055100B" w:rsidRPr="008923F6" w:rsidRDefault="0055100B" w:rsidP="00815B63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1126ABE7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5DF902" w14:textId="611C4C4C" w:rsidR="008923F6" w:rsidRPr="008923F6" w:rsidRDefault="008923F6" w:rsidP="00815B63">
                  <w:pPr>
                    <w:pStyle w:val="Heading2"/>
                    <w:rPr>
                      <w:lang w:val="sr-Latn-ME"/>
                    </w:rPr>
                  </w:pPr>
                  <w:bookmarkStart w:id="45" w:name="_Toc509304771"/>
                  <w:r w:rsidRPr="008923F6">
                    <w:rPr>
                      <w:lang w:val="sr-Latn-ME"/>
                    </w:rPr>
                    <w:t>6.2 Vremenska uporedivost</w:t>
                  </w:r>
                  <w:bookmarkEnd w:id="45"/>
                </w:p>
              </w:tc>
            </w:tr>
            <w:tr w:rsidR="008923F6" w:rsidRPr="008923F6" w14:paraId="1C23EAE3" w14:textId="77777777" w:rsidTr="008923F6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9D7F28" w14:textId="7957BEBC" w:rsidR="008923F6" w:rsidRPr="008923F6" w:rsidRDefault="00AB62C9" w:rsidP="004D573B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</w:tbl>
          <w:p w14:paraId="26F2E475" w14:textId="0C899115" w:rsidR="00760CE8" w:rsidRDefault="00760CE8" w:rsidP="00815B63">
            <w:pPr>
              <w:pStyle w:val="Heading1"/>
              <w:rPr>
                <w:rFonts w:eastAsia="Times New Roman"/>
                <w:lang w:val="sr-Latn-ME"/>
              </w:rPr>
            </w:pPr>
          </w:p>
        </w:tc>
      </w:tr>
    </w:tbl>
    <w:p w14:paraId="1E8AE089" w14:textId="77777777" w:rsidR="00862EA6" w:rsidRPr="00862EA6" w:rsidRDefault="00862EA6" w:rsidP="00815B63">
      <w:pPr>
        <w:spacing w:after="0" w:line="240" w:lineRule="auto"/>
        <w:jc w:val="both"/>
        <w:rPr>
          <w:lang w:val="sr-Latn-ME"/>
        </w:rPr>
      </w:pPr>
    </w:p>
    <w:p w14:paraId="50D4AC07" w14:textId="77777777" w:rsidR="00380612" w:rsidRPr="00862EA6" w:rsidRDefault="00380612" w:rsidP="00815B6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sectPr w:rsidR="00380612" w:rsidRPr="00862EA6" w:rsidSect="00380612">
      <w:headerReference w:type="default" r:id="rId14"/>
      <w:footerReference w:type="default" r:id="rId15"/>
      <w:type w:val="continuous"/>
      <w:pgSz w:w="11907" w:h="16839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5CA5" w14:textId="77777777" w:rsidR="0063288D" w:rsidRDefault="0063288D" w:rsidP="00FE1064">
      <w:pPr>
        <w:spacing w:after="0" w:line="240" w:lineRule="auto"/>
      </w:pPr>
      <w:r>
        <w:separator/>
      </w:r>
    </w:p>
  </w:endnote>
  <w:endnote w:type="continuationSeparator" w:id="0">
    <w:p w14:paraId="4DE1C679" w14:textId="77777777" w:rsidR="0063288D" w:rsidRDefault="0063288D" w:rsidP="00FE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60D5" w14:textId="21813A06" w:rsidR="004D573B" w:rsidRPr="00390478" w:rsidRDefault="004D573B" w:rsidP="004D573B">
    <w:pPr>
      <w:pBdr>
        <w:top w:val="single" w:sz="4" w:space="1" w:color="auto"/>
      </w:pBdr>
      <w:tabs>
        <w:tab w:val="right" w:pos="-5529"/>
        <w:tab w:val="center" w:pos="5138"/>
        <w:tab w:val="left" w:pos="7531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6"/>
      </w:rPr>
    </w:pP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t>Izvještaj o kvalitetu za 2016. godinu</w:t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tab/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fldChar w:fldCharType="begin"/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instrText xml:space="preserve"> PAGE   \* MERGEFORMAT </w:instrText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fldChar w:fldCharType="separate"/>
    </w:r>
    <w:r w:rsidR="0008678D">
      <w:rPr>
        <w:rFonts w:ascii="Times New Roman" w:eastAsia="Times New Roman" w:hAnsi="Times New Roman" w:cs="Times New Roman"/>
        <w:noProof/>
        <w:sz w:val="20"/>
        <w:szCs w:val="20"/>
        <w:lang w:val="sr-Latn-CS"/>
      </w:rPr>
      <w:t>1</w:t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fldChar w:fldCharType="end"/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tab/>
      <w:t>Zavod za statistiku Crne Gore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8C80F" w14:textId="77777777" w:rsidR="0063288D" w:rsidRDefault="0063288D" w:rsidP="00FE1064">
      <w:pPr>
        <w:spacing w:after="0" w:line="240" w:lineRule="auto"/>
      </w:pPr>
      <w:r>
        <w:separator/>
      </w:r>
    </w:p>
  </w:footnote>
  <w:footnote w:type="continuationSeparator" w:id="0">
    <w:p w14:paraId="10F5C02F" w14:textId="77777777" w:rsidR="0063288D" w:rsidRDefault="0063288D" w:rsidP="00FE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3941" w14:textId="255A2A99" w:rsidR="004D573B" w:rsidRPr="008923F6" w:rsidRDefault="004D573B" w:rsidP="004D573B">
    <w:pPr>
      <w:pBdr>
        <w:bottom w:val="single" w:sz="4" w:space="1" w:color="auto"/>
      </w:pBdr>
      <w:tabs>
        <w:tab w:val="right" w:pos="-5529"/>
        <w:tab w:val="left" w:pos="-1160"/>
        <w:tab w:val="center" w:pos="4320"/>
        <w:tab w:val="left" w:pos="7125"/>
      </w:tabs>
      <w:spacing w:after="60" w:line="240" w:lineRule="auto"/>
      <w:ind w:left="-57" w:right="-288"/>
      <w:jc w:val="center"/>
      <w:rPr>
        <w:rFonts w:ascii="Times New Roman" w:eastAsia="Times New Roman" w:hAnsi="Times New Roman" w:cs="Times New Roman"/>
        <w:sz w:val="18"/>
        <w:szCs w:val="18"/>
        <w:lang w:val="sr-Latn-ME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val="sr-Latn-CS"/>
      </w:rPr>
      <w:t>Bilans naftnih derivata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24D"/>
    <w:multiLevelType w:val="hybridMultilevel"/>
    <w:tmpl w:val="B67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60D0"/>
    <w:multiLevelType w:val="hybridMultilevel"/>
    <w:tmpl w:val="002A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F"/>
    <w:rsid w:val="00004487"/>
    <w:rsid w:val="00032E32"/>
    <w:rsid w:val="0003486E"/>
    <w:rsid w:val="0003774C"/>
    <w:rsid w:val="000419A9"/>
    <w:rsid w:val="00046A8E"/>
    <w:rsid w:val="00057608"/>
    <w:rsid w:val="00062B02"/>
    <w:rsid w:val="0008678D"/>
    <w:rsid w:val="000951FD"/>
    <w:rsid w:val="000A028B"/>
    <w:rsid w:val="000A2F5B"/>
    <w:rsid w:val="000D62A7"/>
    <w:rsid w:val="001231D2"/>
    <w:rsid w:val="00126DAE"/>
    <w:rsid w:val="00126F3B"/>
    <w:rsid w:val="001326CA"/>
    <w:rsid w:val="001408DE"/>
    <w:rsid w:val="00152AE9"/>
    <w:rsid w:val="001712B7"/>
    <w:rsid w:val="00171884"/>
    <w:rsid w:val="00196A54"/>
    <w:rsid w:val="001D37AC"/>
    <w:rsid w:val="001E27C2"/>
    <w:rsid w:val="001E3F9B"/>
    <w:rsid w:val="001F25D9"/>
    <w:rsid w:val="002409C6"/>
    <w:rsid w:val="002478DE"/>
    <w:rsid w:val="00266298"/>
    <w:rsid w:val="0027035E"/>
    <w:rsid w:val="002834C7"/>
    <w:rsid w:val="002A509A"/>
    <w:rsid w:val="002E027C"/>
    <w:rsid w:val="002E0781"/>
    <w:rsid w:val="002F2000"/>
    <w:rsid w:val="002F5AA5"/>
    <w:rsid w:val="00301D69"/>
    <w:rsid w:val="003027CF"/>
    <w:rsid w:val="003526E8"/>
    <w:rsid w:val="00380612"/>
    <w:rsid w:val="00390478"/>
    <w:rsid w:val="00397686"/>
    <w:rsid w:val="003A3CB2"/>
    <w:rsid w:val="003B1DB3"/>
    <w:rsid w:val="003C35AB"/>
    <w:rsid w:val="00402434"/>
    <w:rsid w:val="00404C87"/>
    <w:rsid w:val="0046183F"/>
    <w:rsid w:val="00472B7D"/>
    <w:rsid w:val="004742C1"/>
    <w:rsid w:val="004853CB"/>
    <w:rsid w:val="00493A5F"/>
    <w:rsid w:val="004D04C7"/>
    <w:rsid w:val="004D573B"/>
    <w:rsid w:val="004D6E41"/>
    <w:rsid w:val="005336ED"/>
    <w:rsid w:val="0055100B"/>
    <w:rsid w:val="00565308"/>
    <w:rsid w:val="00592C21"/>
    <w:rsid w:val="0059364E"/>
    <w:rsid w:val="005948B5"/>
    <w:rsid w:val="005A2D9B"/>
    <w:rsid w:val="005C21A3"/>
    <w:rsid w:val="005E5FCB"/>
    <w:rsid w:val="006079DE"/>
    <w:rsid w:val="00614977"/>
    <w:rsid w:val="0063288D"/>
    <w:rsid w:val="00642F5F"/>
    <w:rsid w:val="00647785"/>
    <w:rsid w:val="0066016A"/>
    <w:rsid w:val="00666451"/>
    <w:rsid w:val="0068243E"/>
    <w:rsid w:val="006B0CF8"/>
    <w:rsid w:val="006B0D50"/>
    <w:rsid w:val="006B0FBE"/>
    <w:rsid w:val="006E469D"/>
    <w:rsid w:val="00717657"/>
    <w:rsid w:val="00760CE8"/>
    <w:rsid w:val="00770CD4"/>
    <w:rsid w:val="007722AA"/>
    <w:rsid w:val="00775FA7"/>
    <w:rsid w:val="00781F3E"/>
    <w:rsid w:val="007A171B"/>
    <w:rsid w:val="007A1D61"/>
    <w:rsid w:val="007A4690"/>
    <w:rsid w:val="007C19F8"/>
    <w:rsid w:val="007C4EFA"/>
    <w:rsid w:val="007F0CE9"/>
    <w:rsid w:val="008153C0"/>
    <w:rsid w:val="00815B63"/>
    <w:rsid w:val="00816E4B"/>
    <w:rsid w:val="00830B45"/>
    <w:rsid w:val="00862EA6"/>
    <w:rsid w:val="0088345B"/>
    <w:rsid w:val="00884A95"/>
    <w:rsid w:val="008923F6"/>
    <w:rsid w:val="008B1FCA"/>
    <w:rsid w:val="008D2180"/>
    <w:rsid w:val="008D785F"/>
    <w:rsid w:val="008E02E1"/>
    <w:rsid w:val="008E0BB5"/>
    <w:rsid w:val="008F38CC"/>
    <w:rsid w:val="00944090"/>
    <w:rsid w:val="00946047"/>
    <w:rsid w:val="009974FD"/>
    <w:rsid w:val="00997BB0"/>
    <w:rsid w:val="009A1276"/>
    <w:rsid w:val="009A6CE5"/>
    <w:rsid w:val="009B35EE"/>
    <w:rsid w:val="009B6C06"/>
    <w:rsid w:val="009B7B47"/>
    <w:rsid w:val="009C1885"/>
    <w:rsid w:val="009C51AF"/>
    <w:rsid w:val="00A24AC3"/>
    <w:rsid w:val="00A91D47"/>
    <w:rsid w:val="00AA30B7"/>
    <w:rsid w:val="00AB536D"/>
    <w:rsid w:val="00AB62C9"/>
    <w:rsid w:val="00AC496F"/>
    <w:rsid w:val="00B30AD9"/>
    <w:rsid w:val="00B313EF"/>
    <w:rsid w:val="00B54827"/>
    <w:rsid w:val="00B63598"/>
    <w:rsid w:val="00B73D27"/>
    <w:rsid w:val="00B83595"/>
    <w:rsid w:val="00B867AE"/>
    <w:rsid w:val="00BC3100"/>
    <w:rsid w:val="00BD43C1"/>
    <w:rsid w:val="00BE68BA"/>
    <w:rsid w:val="00BF334A"/>
    <w:rsid w:val="00BF3599"/>
    <w:rsid w:val="00BF491C"/>
    <w:rsid w:val="00C03DE3"/>
    <w:rsid w:val="00C04BF9"/>
    <w:rsid w:val="00C0733E"/>
    <w:rsid w:val="00C54767"/>
    <w:rsid w:val="00C741B5"/>
    <w:rsid w:val="00C82511"/>
    <w:rsid w:val="00CA0791"/>
    <w:rsid w:val="00CB104B"/>
    <w:rsid w:val="00CC00C0"/>
    <w:rsid w:val="00CC176A"/>
    <w:rsid w:val="00CF4067"/>
    <w:rsid w:val="00D04AA6"/>
    <w:rsid w:val="00D22811"/>
    <w:rsid w:val="00D353D8"/>
    <w:rsid w:val="00D5264C"/>
    <w:rsid w:val="00D54A50"/>
    <w:rsid w:val="00D80A8F"/>
    <w:rsid w:val="00D97ADC"/>
    <w:rsid w:val="00DB4324"/>
    <w:rsid w:val="00DD1263"/>
    <w:rsid w:val="00DE27E2"/>
    <w:rsid w:val="00DE7320"/>
    <w:rsid w:val="00E05B14"/>
    <w:rsid w:val="00E206AE"/>
    <w:rsid w:val="00E24292"/>
    <w:rsid w:val="00E513D3"/>
    <w:rsid w:val="00E64596"/>
    <w:rsid w:val="00E647F0"/>
    <w:rsid w:val="00E73A00"/>
    <w:rsid w:val="00EC242E"/>
    <w:rsid w:val="00EE197D"/>
    <w:rsid w:val="00F04153"/>
    <w:rsid w:val="00F13862"/>
    <w:rsid w:val="00F14AC9"/>
    <w:rsid w:val="00F15B84"/>
    <w:rsid w:val="00F22BAA"/>
    <w:rsid w:val="00F3644E"/>
    <w:rsid w:val="00F5535A"/>
    <w:rsid w:val="00F63CB9"/>
    <w:rsid w:val="00F85486"/>
    <w:rsid w:val="00F87385"/>
    <w:rsid w:val="00FA7891"/>
    <w:rsid w:val="00FC7BDA"/>
    <w:rsid w:val="00FE1064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0D1C"/>
  <w15:docId w15:val="{E32AC47F-3F2E-43A1-9060-A83619C8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FBE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9B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F9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F9B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64"/>
  </w:style>
  <w:style w:type="paragraph" w:styleId="Footer">
    <w:name w:val="footer"/>
    <w:basedOn w:val="Normal"/>
    <w:link w:val="FooterChar"/>
    <w:uiPriority w:val="99"/>
    <w:unhideWhenUsed/>
    <w:rsid w:val="00FE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64"/>
  </w:style>
  <w:style w:type="character" w:customStyle="1" w:styleId="Heading1Char">
    <w:name w:val="Heading 1 Char"/>
    <w:basedOn w:val="DefaultParagraphFont"/>
    <w:link w:val="Heading1"/>
    <w:uiPriority w:val="9"/>
    <w:rsid w:val="006B0FB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9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3F9B"/>
    <w:rPr>
      <w:rFonts w:ascii="Times New Roman" w:eastAsiaTheme="majorEastAsia" w:hAnsi="Times New Roman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3F9B"/>
    <w:rPr>
      <w:rFonts w:ascii="Times New Roman" w:eastAsiaTheme="majorEastAsia" w:hAnsi="Times New Roman" w:cstheme="maj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F0CE9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C3100"/>
    <w:pPr>
      <w:tabs>
        <w:tab w:val="right" w:leader="dot" w:pos="10197"/>
      </w:tabs>
      <w:spacing w:before="60" w:after="4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ME"/>
    </w:rPr>
  </w:style>
  <w:style w:type="paragraph" w:styleId="TOC2">
    <w:name w:val="toc 2"/>
    <w:basedOn w:val="Normal"/>
    <w:next w:val="Normal"/>
    <w:autoRedefine/>
    <w:uiPriority w:val="39"/>
    <w:unhideWhenUsed/>
    <w:rsid w:val="00046A8E"/>
    <w:pPr>
      <w:tabs>
        <w:tab w:val="right" w:leader="dot" w:pos="10197"/>
      </w:tabs>
      <w:spacing w:before="4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834C7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F0CE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F0CE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F0CE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F0CE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F0CE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F0CE9"/>
    <w:pPr>
      <w:spacing w:after="0"/>
      <w:ind w:left="176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0B4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stat.org/cg/publikacij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stat.org/cg/page.php?id=548&amp;pageid=5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stat.org/cg/page.php?id=1493&amp;pageid=14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nstat.org/userfiles/file/ENERGETIKA/metodologije/Metodologija_Bilans%20naftnih%20derivata_C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monstat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DCF6-9625-4EBD-8207-1E9C822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Zivkovic</dc:creator>
  <cp:lastModifiedBy>Dragana Zivkovic</cp:lastModifiedBy>
  <cp:revision>22</cp:revision>
  <cp:lastPrinted>2018-03-22T11:46:00Z</cp:lastPrinted>
  <dcterms:created xsi:type="dcterms:W3CDTF">2018-02-10T15:55:00Z</dcterms:created>
  <dcterms:modified xsi:type="dcterms:W3CDTF">2018-03-22T11:46:00Z</dcterms:modified>
</cp:coreProperties>
</file>